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华文中宋" w:hAnsi="华文中宋" w:eastAsia="华文中宋" w:cs="华文中宋"/>
          <w:b/>
          <w:sz w:val="52"/>
          <w:szCs w:val="84"/>
        </w:rPr>
      </w:pPr>
    </w:p>
    <w:p>
      <w:pPr>
        <w:pStyle w:val="5"/>
        <w:adjustRightInd w:val="0"/>
        <w:snapToGrid w:val="0"/>
        <w:spacing w:before="0" w:beforeAutospacing="0" w:after="0" w:afterAutospacing="0" w:line="360" w:lineRule="auto"/>
        <w:jc w:val="center"/>
        <w:rPr>
          <w:rFonts w:eastAsia="仿宋_GB2312" w:cs="Times New Roman"/>
          <w:b/>
          <w:sz w:val="36"/>
          <w:szCs w:val="36"/>
        </w:rPr>
      </w:pPr>
      <w:r>
        <w:rPr>
          <w:rFonts w:hint="eastAsia" w:ascii="黑体" w:hAnsi="黑体" w:eastAsia="黑体"/>
          <w:bCs/>
          <w:sz w:val="44"/>
          <w:szCs w:val="44"/>
        </w:rPr>
        <w:t>黄山市广播电视台（本级）2021年度单位决算</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5"/>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2022年9月</w:t>
      </w: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r>
        <w:rPr>
          <w:rFonts w:hint="eastAsia" w:ascii="黑体" w:hAnsi="宋体" w:eastAsia="黑体"/>
          <w:bCs/>
          <w:sz w:val="48"/>
          <w:szCs w:val="48"/>
        </w:rPr>
        <w:t>目  录</w:t>
      </w:r>
    </w:p>
    <w:p>
      <w:pPr>
        <w:spacing w:line="550" w:lineRule="exact"/>
        <w:rPr>
          <w:rFonts w:ascii="宋体" w:hAnsi="宋体"/>
          <w:b/>
          <w:sz w:val="36"/>
          <w:szCs w:val="36"/>
        </w:rPr>
      </w:pPr>
      <w:r>
        <w:rPr>
          <w:rFonts w:hint="eastAsia" w:ascii="宋体" w:hAnsi="宋体"/>
          <w:b/>
          <w:sz w:val="36"/>
          <w:szCs w:val="36"/>
        </w:rPr>
        <w:t>第一部分 黄山市广播电视台（本级）概况</w:t>
      </w:r>
    </w:p>
    <w:p>
      <w:pPr>
        <w:spacing w:line="550" w:lineRule="exact"/>
        <w:rPr>
          <w:rFonts w:ascii="宋体" w:hAnsi="宋体"/>
          <w:bCs/>
          <w:sz w:val="36"/>
          <w:szCs w:val="36"/>
        </w:rPr>
      </w:pPr>
      <w:r>
        <w:rPr>
          <w:rFonts w:hint="eastAsia" w:ascii="宋体" w:hAnsi="宋体"/>
          <w:bCs/>
          <w:sz w:val="36"/>
          <w:szCs w:val="36"/>
        </w:rPr>
        <w:t>一、主要职责</w:t>
      </w:r>
    </w:p>
    <w:p>
      <w:pPr>
        <w:spacing w:line="550" w:lineRule="exact"/>
        <w:rPr>
          <w:rFonts w:ascii="宋体" w:hAnsi="宋体"/>
          <w:bCs/>
          <w:sz w:val="36"/>
          <w:szCs w:val="36"/>
        </w:rPr>
      </w:pPr>
      <w:r>
        <w:rPr>
          <w:rFonts w:hint="eastAsia" w:ascii="宋体" w:hAnsi="宋体"/>
          <w:bCs/>
          <w:sz w:val="36"/>
          <w:szCs w:val="36"/>
        </w:rPr>
        <w:t>二、单位决算构成</w:t>
      </w:r>
    </w:p>
    <w:p>
      <w:pPr>
        <w:spacing w:line="550" w:lineRule="exact"/>
        <w:rPr>
          <w:rFonts w:ascii="宋体" w:hAnsi="宋体"/>
          <w:b/>
          <w:sz w:val="36"/>
          <w:szCs w:val="36"/>
        </w:rPr>
      </w:pPr>
      <w:r>
        <w:rPr>
          <w:rFonts w:hint="eastAsia" w:ascii="宋体" w:hAnsi="宋体"/>
          <w:b/>
          <w:sz w:val="36"/>
          <w:szCs w:val="36"/>
        </w:rPr>
        <w:t>第二部分 黄山市广播电视台（本级）2021年度单位决算表</w:t>
      </w:r>
    </w:p>
    <w:p>
      <w:pPr>
        <w:spacing w:line="550" w:lineRule="exact"/>
        <w:rPr>
          <w:rFonts w:ascii="宋体" w:hAnsi="宋体"/>
          <w:bCs/>
          <w:sz w:val="36"/>
          <w:szCs w:val="36"/>
        </w:rPr>
      </w:pPr>
      <w:r>
        <w:rPr>
          <w:rFonts w:hint="eastAsia" w:ascii="宋体" w:hAnsi="宋体"/>
          <w:bCs/>
          <w:sz w:val="36"/>
          <w:szCs w:val="36"/>
        </w:rPr>
        <w:t>一、收入支出决算总表</w:t>
      </w:r>
    </w:p>
    <w:p>
      <w:pPr>
        <w:spacing w:line="550" w:lineRule="exact"/>
        <w:rPr>
          <w:rFonts w:ascii="宋体" w:hAnsi="宋体"/>
          <w:bCs/>
          <w:sz w:val="36"/>
          <w:szCs w:val="36"/>
        </w:rPr>
      </w:pPr>
      <w:r>
        <w:rPr>
          <w:rFonts w:hint="eastAsia" w:ascii="宋体" w:hAnsi="宋体"/>
          <w:bCs/>
          <w:sz w:val="36"/>
          <w:szCs w:val="36"/>
        </w:rPr>
        <w:t>二、收入决算表</w:t>
      </w:r>
    </w:p>
    <w:p>
      <w:pPr>
        <w:spacing w:line="550" w:lineRule="exact"/>
        <w:rPr>
          <w:rFonts w:ascii="宋体" w:hAnsi="宋体"/>
          <w:bCs/>
          <w:sz w:val="36"/>
          <w:szCs w:val="36"/>
        </w:rPr>
      </w:pPr>
      <w:r>
        <w:rPr>
          <w:rFonts w:hint="eastAsia" w:ascii="宋体" w:hAnsi="宋体"/>
          <w:bCs/>
          <w:sz w:val="36"/>
          <w:szCs w:val="36"/>
        </w:rPr>
        <w:t>三、支出决算表</w:t>
      </w:r>
    </w:p>
    <w:p>
      <w:pPr>
        <w:spacing w:line="550" w:lineRule="exact"/>
        <w:rPr>
          <w:rFonts w:ascii="宋体" w:hAnsi="宋体"/>
          <w:bCs/>
          <w:sz w:val="36"/>
          <w:szCs w:val="36"/>
        </w:rPr>
      </w:pPr>
      <w:r>
        <w:rPr>
          <w:rFonts w:hint="eastAsia" w:ascii="宋体" w:hAnsi="宋体"/>
          <w:bCs/>
          <w:sz w:val="36"/>
          <w:szCs w:val="36"/>
        </w:rPr>
        <w:t>四、财政拨款收入支出决算总表</w:t>
      </w:r>
    </w:p>
    <w:p>
      <w:pPr>
        <w:spacing w:line="550" w:lineRule="exact"/>
        <w:rPr>
          <w:rFonts w:ascii="宋体" w:hAnsi="宋体"/>
          <w:bCs/>
          <w:sz w:val="36"/>
          <w:szCs w:val="36"/>
        </w:rPr>
      </w:pPr>
      <w:r>
        <w:rPr>
          <w:rFonts w:hint="eastAsia" w:ascii="宋体" w:hAnsi="宋体"/>
          <w:bCs/>
          <w:sz w:val="36"/>
          <w:szCs w:val="36"/>
        </w:rPr>
        <w:t>五、一般公共预算财政拨款支出决算表</w:t>
      </w:r>
    </w:p>
    <w:p>
      <w:pPr>
        <w:spacing w:line="550" w:lineRule="exact"/>
        <w:rPr>
          <w:rFonts w:ascii="宋体" w:hAnsi="宋体"/>
          <w:bCs/>
          <w:sz w:val="36"/>
          <w:szCs w:val="36"/>
        </w:rPr>
      </w:pPr>
      <w:r>
        <w:rPr>
          <w:rFonts w:hint="eastAsia" w:ascii="宋体" w:hAnsi="宋体"/>
          <w:bCs/>
          <w:sz w:val="36"/>
          <w:szCs w:val="36"/>
        </w:rPr>
        <w:t>六、一般公共预算财政拨款基本支出决算表</w:t>
      </w:r>
    </w:p>
    <w:p>
      <w:pPr>
        <w:spacing w:line="550" w:lineRule="exact"/>
        <w:rPr>
          <w:rFonts w:ascii="宋体" w:hAnsi="宋体"/>
          <w:bCs/>
          <w:sz w:val="36"/>
          <w:szCs w:val="36"/>
        </w:rPr>
      </w:pPr>
      <w:r>
        <w:rPr>
          <w:rFonts w:hint="eastAsia" w:ascii="宋体" w:hAnsi="宋体"/>
          <w:bCs/>
          <w:sz w:val="36"/>
          <w:szCs w:val="36"/>
        </w:rPr>
        <w:t>七、政府性基金预算财政拨款收入支出决算表</w:t>
      </w:r>
    </w:p>
    <w:p>
      <w:pPr>
        <w:spacing w:line="550" w:lineRule="exact"/>
        <w:rPr>
          <w:rFonts w:ascii="宋体" w:hAnsi="宋体"/>
          <w:bCs/>
          <w:sz w:val="36"/>
          <w:szCs w:val="36"/>
        </w:rPr>
      </w:pPr>
      <w:r>
        <w:rPr>
          <w:rFonts w:hint="eastAsia" w:ascii="宋体" w:hAnsi="宋体"/>
          <w:bCs/>
          <w:sz w:val="36"/>
          <w:szCs w:val="36"/>
        </w:rPr>
        <w:t>八、国有资本经营预算财政拨款支出决算表</w:t>
      </w:r>
    </w:p>
    <w:p>
      <w:pPr>
        <w:spacing w:line="550" w:lineRule="exact"/>
        <w:rPr>
          <w:rFonts w:ascii="宋体" w:hAnsi="宋体"/>
          <w:b/>
          <w:sz w:val="36"/>
          <w:szCs w:val="36"/>
        </w:rPr>
      </w:pPr>
      <w:r>
        <w:rPr>
          <w:rFonts w:hint="eastAsia" w:ascii="宋体" w:hAnsi="宋体"/>
          <w:b/>
          <w:sz w:val="36"/>
          <w:szCs w:val="36"/>
        </w:rPr>
        <w:t>第三部分 黄山市广播电视台（本级）2021年度单位决算情况说明</w:t>
      </w:r>
    </w:p>
    <w:p>
      <w:pPr>
        <w:spacing w:line="550" w:lineRule="exact"/>
        <w:rPr>
          <w:rFonts w:ascii="宋体" w:hAnsi="宋体"/>
          <w:bCs/>
          <w:sz w:val="36"/>
          <w:szCs w:val="36"/>
        </w:rPr>
      </w:pPr>
      <w:r>
        <w:rPr>
          <w:rFonts w:hint="eastAsia" w:ascii="宋体" w:hAnsi="宋体"/>
          <w:bCs/>
          <w:sz w:val="36"/>
          <w:szCs w:val="36"/>
        </w:rPr>
        <w:t>一、收入支出决算总体情况说明</w:t>
      </w:r>
    </w:p>
    <w:p>
      <w:pPr>
        <w:spacing w:line="550" w:lineRule="exact"/>
        <w:rPr>
          <w:rFonts w:ascii="宋体" w:hAnsi="宋体"/>
          <w:bCs/>
          <w:sz w:val="36"/>
          <w:szCs w:val="36"/>
        </w:rPr>
      </w:pPr>
      <w:r>
        <w:rPr>
          <w:rFonts w:hint="eastAsia" w:ascii="宋体" w:hAnsi="宋体"/>
          <w:bCs/>
          <w:sz w:val="36"/>
          <w:szCs w:val="36"/>
        </w:rPr>
        <w:t>二、收入决算情况说明</w:t>
      </w:r>
    </w:p>
    <w:p>
      <w:pPr>
        <w:spacing w:line="550" w:lineRule="exact"/>
        <w:rPr>
          <w:rFonts w:ascii="宋体" w:hAnsi="宋体"/>
          <w:bCs/>
          <w:sz w:val="36"/>
          <w:szCs w:val="36"/>
        </w:rPr>
      </w:pPr>
      <w:r>
        <w:rPr>
          <w:rFonts w:hint="eastAsia" w:ascii="宋体" w:hAnsi="宋体"/>
          <w:bCs/>
          <w:sz w:val="36"/>
          <w:szCs w:val="36"/>
        </w:rPr>
        <w:t>三、支出决算情况说明</w:t>
      </w:r>
    </w:p>
    <w:p>
      <w:pPr>
        <w:spacing w:line="550" w:lineRule="exact"/>
        <w:rPr>
          <w:rFonts w:ascii="宋体" w:hAnsi="宋体"/>
          <w:bCs/>
          <w:sz w:val="36"/>
          <w:szCs w:val="36"/>
        </w:rPr>
      </w:pPr>
      <w:r>
        <w:rPr>
          <w:rFonts w:hint="eastAsia" w:ascii="宋体" w:hAnsi="宋体"/>
          <w:bCs/>
          <w:sz w:val="36"/>
          <w:szCs w:val="36"/>
        </w:rPr>
        <w:t>四、财政拨款收入支出决算总体情况说明</w:t>
      </w:r>
    </w:p>
    <w:p>
      <w:pPr>
        <w:spacing w:line="550" w:lineRule="exact"/>
        <w:rPr>
          <w:rFonts w:ascii="宋体" w:hAnsi="宋体"/>
          <w:bCs/>
          <w:sz w:val="36"/>
          <w:szCs w:val="36"/>
        </w:rPr>
      </w:pPr>
      <w:r>
        <w:rPr>
          <w:rFonts w:hint="eastAsia" w:ascii="宋体" w:hAnsi="宋体"/>
          <w:bCs/>
          <w:sz w:val="36"/>
          <w:szCs w:val="36"/>
        </w:rPr>
        <w:t>五、一般公共预算财政拨款支出决算情况说明</w:t>
      </w:r>
    </w:p>
    <w:p>
      <w:pPr>
        <w:spacing w:line="550" w:lineRule="exact"/>
        <w:rPr>
          <w:rFonts w:ascii="宋体" w:hAnsi="宋体"/>
          <w:bCs/>
          <w:sz w:val="36"/>
          <w:szCs w:val="36"/>
        </w:rPr>
      </w:pPr>
      <w:r>
        <w:rPr>
          <w:rFonts w:hint="eastAsia" w:ascii="宋体" w:hAnsi="宋体"/>
          <w:bCs/>
          <w:sz w:val="36"/>
          <w:szCs w:val="36"/>
        </w:rPr>
        <w:t>六、一般公共预算财政拨款基本支出决算情况说明</w:t>
      </w:r>
    </w:p>
    <w:p>
      <w:pPr>
        <w:spacing w:line="550" w:lineRule="exact"/>
        <w:rPr>
          <w:rFonts w:ascii="宋体" w:hAnsi="宋体"/>
          <w:bCs/>
          <w:sz w:val="36"/>
          <w:szCs w:val="36"/>
        </w:rPr>
      </w:pPr>
      <w:r>
        <w:rPr>
          <w:rFonts w:hint="eastAsia" w:ascii="宋体" w:hAnsi="宋体"/>
          <w:bCs/>
          <w:sz w:val="36"/>
          <w:szCs w:val="36"/>
        </w:rPr>
        <w:t>七、政府性基金预算财政拨款收入支出决算情况说明</w:t>
      </w:r>
    </w:p>
    <w:p>
      <w:pPr>
        <w:spacing w:line="550" w:lineRule="exact"/>
        <w:rPr>
          <w:rFonts w:ascii="宋体" w:hAnsi="宋体"/>
          <w:bCs/>
          <w:sz w:val="36"/>
          <w:szCs w:val="36"/>
        </w:rPr>
      </w:pPr>
      <w:r>
        <w:rPr>
          <w:rFonts w:hint="eastAsia" w:ascii="宋体" w:hAnsi="宋体"/>
          <w:bCs/>
          <w:sz w:val="36"/>
          <w:szCs w:val="36"/>
        </w:rPr>
        <w:t>八、国有资本经营预算财政拨款支出决算情况说明</w:t>
      </w:r>
    </w:p>
    <w:p>
      <w:pPr>
        <w:spacing w:line="550" w:lineRule="exact"/>
        <w:rPr>
          <w:rFonts w:ascii="宋体" w:hAnsi="宋体"/>
          <w:bCs/>
          <w:sz w:val="36"/>
          <w:szCs w:val="36"/>
        </w:rPr>
      </w:pPr>
      <w:r>
        <w:rPr>
          <w:rFonts w:hint="eastAsia" w:ascii="宋体" w:hAnsi="宋体"/>
          <w:bCs/>
          <w:sz w:val="36"/>
          <w:szCs w:val="36"/>
        </w:rPr>
        <w:t>九、其他重要事项情况说明</w:t>
      </w:r>
    </w:p>
    <w:p>
      <w:pPr>
        <w:spacing w:line="550" w:lineRule="exact"/>
        <w:rPr>
          <w:rFonts w:ascii="宋体" w:hAnsi="宋体"/>
          <w:b/>
          <w:sz w:val="36"/>
          <w:szCs w:val="36"/>
        </w:rPr>
      </w:pPr>
      <w:r>
        <w:rPr>
          <w:rFonts w:hint="eastAsia" w:ascii="宋体" w:hAnsi="宋体"/>
          <w:b/>
          <w:sz w:val="36"/>
          <w:szCs w:val="36"/>
        </w:rPr>
        <w:t>第四部分  名词解释</w:t>
      </w:r>
    </w:p>
    <w:p>
      <w:pPr>
        <w:spacing w:line="550" w:lineRule="exact"/>
        <w:rPr>
          <w:rFonts w:ascii="宋体" w:hAnsi="宋体"/>
          <w:b/>
          <w:sz w:val="36"/>
          <w:szCs w:val="36"/>
        </w:rPr>
      </w:pPr>
    </w:p>
    <w:p>
      <w:pPr>
        <w:rPr>
          <w:rFonts w:ascii="宋体" w:hAnsi="宋体"/>
          <w:b/>
          <w:sz w:val="36"/>
          <w:szCs w:val="36"/>
        </w:rPr>
      </w:pPr>
    </w:p>
    <w:p>
      <w:pPr>
        <w:adjustRightInd w:val="0"/>
        <w:snapToGrid w:val="0"/>
        <w:spacing w:line="360" w:lineRule="auto"/>
        <w:jc w:val="center"/>
        <w:rPr>
          <w:rFonts w:ascii="黑体" w:hAnsi="黑体" w:eastAsia="黑体"/>
          <w:szCs w:val="32"/>
        </w:rPr>
      </w:pPr>
      <w:r>
        <w:rPr>
          <w:rFonts w:hint="eastAsia" w:ascii="宋体" w:hAnsi="宋体"/>
          <w:b/>
          <w:sz w:val="36"/>
          <w:szCs w:val="36"/>
        </w:rPr>
        <w:br w:type="page"/>
      </w:r>
      <w:r>
        <w:rPr>
          <w:rFonts w:hint="eastAsia" w:ascii="黑体" w:hAnsi="黑体" w:eastAsia="黑体"/>
          <w:szCs w:val="32"/>
        </w:rPr>
        <w:t>第一部分 黄山广播电视台（本级）概况</w:t>
      </w:r>
    </w:p>
    <w:p>
      <w:pPr>
        <w:pStyle w:val="9"/>
        <w:numPr>
          <w:ilvl w:val="0"/>
          <w:numId w:val="1"/>
        </w:numPr>
        <w:ind w:firstLineChars="0"/>
        <w:rPr>
          <w:rFonts w:ascii="黑体" w:hAnsi="黑体" w:eastAsia="黑体"/>
          <w:szCs w:val="32"/>
        </w:rPr>
      </w:pPr>
      <w:r>
        <w:rPr>
          <w:rFonts w:hint="eastAsia" w:ascii="黑体" w:hAnsi="黑体" w:eastAsia="黑体"/>
          <w:szCs w:val="32"/>
        </w:rPr>
        <w:t>主要职责</w:t>
      </w:r>
    </w:p>
    <w:p>
      <w:pPr>
        <w:pStyle w:val="5"/>
        <w:shd w:val="clear" w:color="auto" w:fill="FFFFFF"/>
        <w:spacing w:before="0" w:beforeAutospacing="0" w:after="0" w:afterAutospacing="0" w:line="520" w:lineRule="exact"/>
        <w:ind w:firstLine="625" w:firstLineChars="199"/>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贯彻执行党的宣传方针，坚持正确舆论导向，及时准确地宣传党的路线方针政策，为党委、政府工作大局和中心工作服务；办好健康向上的广播电视节目，不断丰富人民群众的精神文化生活；大力发展新媒体业务，拓展宣传阵地和宣传渠道；做好广播电视节目安全播出和技术保障工作，加快科技创新和改革步伐，努力提升广播电视的科技含量和播出水平；负责广播电视台内部人财物的统一管理；指导区县广播电视台工作；完成市委、市政府交办的其他工作。</w:t>
      </w:r>
    </w:p>
    <w:p>
      <w:pPr>
        <w:ind w:firstLine="628" w:firstLineChars="200"/>
        <w:rPr>
          <w:rFonts w:ascii="黑体" w:hAnsi="黑体" w:eastAsia="黑体"/>
          <w:szCs w:val="32"/>
        </w:rPr>
      </w:pPr>
      <w:r>
        <w:rPr>
          <w:rFonts w:hint="eastAsia" w:ascii="仿宋_GB2312" w:hAnsi="仿宋"/>
          <w:szCs w:val="32"/>
        </w:rPr>
        <w:t>根据上述职责，黄山市广播电视台本级设置</w:t>
      </w:r>
      <w:r>
        <w:rPr>
          <w:rFonts w:ascii="仿宋_GB2312" w:hAnsi="仿宋"/>
          <w:szCs w:val="32"/>
        </w:rPr>
        <w:t>5</w:t>
      </w:r>
      <w:r>
        <w:rPr>
          <w:rFonts w:hint="eastAsia" w:ascii="仿宋_GB2312" w:hAnsi="仿宋"/>
          <w:szCs w:val="32"/>
        </w:rPr>
        <w:t>个综合管理机构和</w:t>
      </w:r>
      <w:r>
        <w:rPr>
          <w:rFonts w:ascii="仿宋_GB2312" w:hAnsi="仿宋"/>
          <w:szCs w:val="32"/>
        </w:rPr>
        <w:t>9</w:t>
      </w:r>
      <w:r>
        <w:rPr>
          <w:rFonts w:hint="eastAsia" w:ascii="仿宋_GB2312" w:hAnsi="仿宋"/>
          <w:szCs w:val="32"/>
        </w:rPr>
        <w:t>个业务宣传机构，均为正科级建制。</w:t>
      </w:r>
    </w:p>
    <w:p>
      <w:pPr>
        <w:ind w:firstLine="628" w:firstLineChars="200"/>
        <w:rPr>
          <w:rFonts w:ascii="黑体" w:hAnsi="黑体" w:eastAsia="黑体"/>
          <w:szCs w:val="32"/>
        </w:rPr>
      </w:pPr>
      <w:r>
        <w:rPr>
          <w:rFonts w:hint="eastAsia" w:ascii="黑体" w:hAnsi="黑体" w:eastAsia="黑体"/>
          <w:szCs w:val="32"/>
        </w:rPr>
        <w:t>二、单位决算构成</w:t>
      </w:r>
    </w:p>
    <w:p>
      <w:pPr>
        <w:ind w:firstLine="628" w:firstLineChars="200"/>
        <w:rPr>
          <w:rFonts w:ascii="仿宋_GB2312" w:hAnsi="仿宋"/>
          <w:szCs w:val="32"/>
        </w:rPr>
      </w:pPr>
      <w:r>
        <w:rPr>
          <w:rFonts w:hint="eastAsia" w:ascii="仿宋_GB2312" w:hAnsi="仿宋"/>
          <w:szCs w:val="32"/>
        </w:rPr>
        <w:t>黄山市广播电视台本级2021年度单位决算仅包括单位本级决算，无其他下属单位决算。</w:t>
      </w:r>
    </w:p>
    <w:tbl>
      <w:tblPr>
        <w:tblStyle w:val="6"/>
        <w:tblW w:w="7226" w:type="dxa"/>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Layout w:type="fixed"/>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序号</w:t>
            </w:r>
          </w:p>
        </w:tc>
        <w:tc>
          <w:tcPr>
            <w:tcW w:w="58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单位名称</w:t>
            </w:r>
          </w:p>
        </w:tc>
      </w:tr>
      <w:tr>
        <w:tblPrEx>
          <w:shd w:val="clear" w:color="auto" w:fill="FFFFFF"/>
          <w:tblLayout w:type="fixed"/>
          <w:tblCellMar>
            <w:top w:w="0" w:type="dxa"/>
            <w:left w:w="0" w:type="dxa"/>
            <w:bottom w:w="0" w:type="dxa"/>
            <w:right w:w="0" w:type="dxa"/>
          </w:tblCellMar>
        </w:tblPrEx>
        <w:trPr>
          <w:trHeight w:val="636" w:hRule="exact"/>
        </w:trPr>
        <w:tc>
          <w:tcPr>
            <w:tcW w:w="13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 w:val="24"/>
              </w:rPr>
            </w:pPr>
            <w:r>
              <w:rPr>
                <w:rFonts w:hint="eastAsia" w:ascii="宋体" w:hAnsi="宋体"/>
                <w:sz w:val="24"/>
              </w:rPr>
              <w:t>1</w:t>
            </w:r>
          </w:p>
        </w:tc>
        <w:tc>
          <w:tcPr>
            <w:tcW w:w="5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sz w:val="24"/>
              </w:rPr>
            </w:pPr>
            <w:r>
              <w:rPr>
                <w:rFonts w:hint="eastAsia" w:ascii="宋体" w:hAnsi="宋体"/>
                <w:sz w:val="24"/>
              </w:rPr>
              <w:t>黄山市广播电视台本级</w:t>
            </w:r>
          </w:p>
        </w:tc>
      </w:tr>
      <w:tr>
        <w:tblPrEx>
          <w:shd w:val="clear" w:color="auto" w:fill="FFFFFF"/>
          <w:tblLayout w:type="fixed"/>
          <w:tblCellMar>
            <w:top w:w="0" w:type="dxa"/>
            <w:left w:w="0" w:type="dxa"/>
            <w:bottom w:w="0" w:type="dxa"/>
            <w:right w:w="0" w:type="dxa"/>
          </w:tblCellMar>
        </w:tblPrEx>
        <w:trPr>
          <w:trHeight w:val="574" w:hRule="exact"/>
        </w:trPr>
        <w:tc>
          <w:tcPr>
            <w:tcW w:w="13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宋体" w:hAnsi="宋体" w:cs="宋体"/>
                <w:sz w:val="24"/>
              </w:rPr>
            </w:pPr>
          </w:p>
        </w:tc>
        <w:tc>
          <w:tcPr>
            <w:tcW w:w="5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sz w:val="24"/>
              </w:rPr>
            </w:pPr>
          </w:p>
        </w:tc>
      </w:tr>
    </w:tbl>
    <w:p>
      <w:pPr>
        <w:ind w:firstLine="628" w:firstLineChars="200"/>
        <w:rPr>
          <w:rFonts w:ascii="仿宋_GB2312" w:hAnsi="黑体"/>
          <w:szCs w:val="32"/>
        </w:rPr>
      </w:pPr>
    </w:p>
    <w:p>
      <w:pPr>
        <w:ind w:firstLine="628" w:firstLineChars="200"/>
        <w:rPr>
          <w:rFonts w:ascii="仿宋_GB2312" w:hAnsi="黑体"/>
          <w:szCs w:val="32"/>
        </w:rPr>
      </w:pPr>
    </w:p>
    <w:p>
      <w:pPr>
        <w:ind w:firstLine="628" w:firstLineChars="200"/>
        <w:rPr>
          <w:rFonts w:ascii="仿宋_GB2312" w:hAnsi="黑体"/>
          <w:szCs w:val="32"/>
        </w:rPr>
      </w:pPr>
    </w:p>
    <w:p>
      <w:pPr>
        <w:ind w:firstLine="628" w:firstLineChars="200"/>
        <w:rPr>
          <w:rFonts w:ascii="仿宋_GB2312" w:hAnsi="黑体"/>
          <w:szCs w:val="32"/>
        </w:rPr>
      </w:pPr>
    </w:p>
    <w:p>
      <w:pPr>
        <w:ind w:firstLine="628" w:firstLineChars="200"/>
        <w:rPr>
          <w:rFonts w:ascii="黑体" w:hAnsi="黑体" w:eastAsia="黑体"/>
          <w:szCs w:val="32"/>
        </w:rPr>
      </w:pPr>
      <w:r>
        <w:rPr>
          <w:rFonts w:hint="eastAsia" w:ascii="黑体" w:hAnsi="黑体" w:eastAsia="黑体"/>
          <w:szCs w:val="32"/>
        </w:rPr>
        <w:t>第二部分 黄山市广播电视台（本级）2021年度单位决算表</w:t>
      </w:r>
    </w:p>
    <w:p>
      <w:pPr>
        <w:ind w:firstLine="628" w:firstLineChars="200"/>
        <w:rPr>
          <w:rFonts w:ascii="黑体" w:hAnsi="黑体" w:eastAsia="黑体"/>
          <w:szCs w:val="32"/>
        </w:rPr>
      </w:pPr>
    </w:p>
    <w:tbl>
      <w:tblPr>
        <w:tblStyle w:val="6"/>
        <w:tblW w:w="8910" w:type="dxa"/>
        <w:tblInd w:w="93" w:type="dxa"/>
        <w:tblLayout w:type="fixed"/>
        <w:tblCellMar>
          <w:top w:w="0" w:type="dxa"/>
          <w:left w:w="108" w:type="dxa"/>
          <w:bottom w:w="0" w:type="dxa"/>
          <w:right w:w="108" w:type="dxa"/>
        </w:tblCellMar>
      </w:tblPr>
      <w:tblGrid>
        <w:gridCol w:w="2965"/>
        <w:gridCol w:w="573"/>
        <w:gridCol w:w="915"/>
        <w:gridCol w:w="2793"/>
        <w:gridCol w:w="573"/>
        <w:gridCol w:w="1091"/>
      </w:tblGrid>
      <w:tr>
        <w:tblPrEx>
          <w:tblLayout w:type="fixed"/>
          <w:tblCellMar>
            <w:top w:w="0" w:type="dxa"/>
            <w:left w:w="108" w:type="dxa"/>
            <w:bottom w:w="0" w:type="dxa"/>
            <w:right w:w="108" w:type="dxa"/>
          </w:tblCellMar>
        </w:tblPrEx>
        <w:trPr>
          <w:trHeight w:val="390" w:hRule="atLeast"/>
        </w:trPr>
        <w:tc>
          <w:tcPr>
            <w:tcW w:w="8910" w:type="dxa"/>
            <w:gridSpan w:val="6"/>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tblPrEx>
          <w:tblLayout w:type="fixed"/>
          <w:tblCellMar>
            <w:top w:w="0" w:type="dxa"/>
            <w:left w:w="108" w:type="dxa"/>
            <w:bottom w:w="0" w:type="dxa"/>
            <w:right w:w="108" w:type="dxa"/>
          </w:tblCellMar>
        </w:tblPrEx>
        <w:trPr>
          <w:trHeight w:val="255" w:hRule="atLeast"/>
        </w:trPr>
        <w:tc>
          <w:tcPr>
            <w:tcW w:w="296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7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91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79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7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91"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公开01表</w:t>
            </w:r>
          </w:p>
        </w:tc>
      </w:tr>
      <w:tr>
        <w:tblPrEx>
          <w:tblLayout w:type="fixed"/>
          <w:tblCellMar>
            <w:top w:w="0" w:type="dxa"/>
            <w:left w:w="108" w:type="dxa"/>
            <w:bottom w:w="0" w:type="dxa"/>
            <w:right w:w="108" w:type="dxa"/>
          </w:tblCellMar>
        </w:tblPrEx>
        <w:trPr>
          <w:trHeight w:val="255" w:hRule="atLeast"/>
        </w:trPr>
        <w:tc>
          <w:tcPr>
            <w:tcW w:w="2965"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单位：黄山市广播电视台（本级）</w:t>
            </w:r>
          </w:p>
        </w:tc>
        <w:tc>
          <w:tcPr>
            <w:tcW w:w="573"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915"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2793"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573"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1091" w:type="dxa"/>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4453" w:type="dxa"/>
            <w:gridSpan w:val="3"/>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收入</w:t>
            </w:r>
          </w:p>
        </w:tc>
        <w:tc>
          <w:tcPr>
            <w:tcW w:w="4457" w:type="dxa"/>
            <w:gridSpan w:val="3"/>
            <w:tcBorders>
              <w:top w:val="single" w:color="000000" w:sz="4" w:space="0"/>
              <w:left w:val="nil"/>
              <w:bottom w:val="single" w:color="000000" w:sz="4" w:space="0"/>
              <w:right w:val="single" w:color="000000" w:sz="8"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支出</w:t>
            </w:r>
          </w:p>
        </w:tc>
      </w:tr>
      <w:tr>
        <w:tblPrEx>
          <w:tblLayout w:type="fixed"/>
          <w:tblCellMar>
            <w:top w:w="0" w:type="dxa"/>
            <w:left w:w="108" w:type="dxa"/>
            <w:bottom w:w="0" w:type="dxa"/>
            <w:right w:w="108" w:type="dxa"/>
          </w:tblCellMar>
        </w:tblPrEx>
        <w:trPr>
          <w:trHeight w:val="308" w:hRule="atLeast"/>
        </w:trPr>
        <w:tc>
          <w:tcPr>
            <w:tcW w:w="2965" w:type="dxa"/>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573"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行次</w:t>
            </w:r>
          </w:p>
        </w:tc>
        <w:tc>
          <w:tcPr>
            <w:tcW w:w="915"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c>
          <w:tcPr>
            <w:tcW w:w="2793"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573"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行次</w:t>
            </w:r>
          </w:p>
        </w:tc>
        <w:tc>
          <w:tcPr>
            <w:tcW w:w="1091" w:type="dxa"/>
            <w:tcBorders>
              <w:top w:val="nil"/>
              <w:left w:val="nil"/>
              <w:bottom w:val="single" w:color="000000" w:sz="4" w:space="0"/>
              <w:right w:val="single" w:color="000000" w:sz="8"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r>
      <w:tr>
        <w:tblPrEx>
          <w:tblLayout w:type="fixed"/>
          <w:tblCellMar>
            <w:top w:w="0" w:type="dxa"/>
            <w:left w:w="108" w:type="dxa"/>
            <w:bottom w:w="0" w:type="dxa"/>
            <w:right w:w="108" w:type="dxa"/>
          </w:tblCellMar>
        </w:tblPrEx>
        <w:trPr>
          <w:trHeight w:val="308" w:hRule="atLeast"/>
        </w:trPr>
        <w:tc>
          <w:tcPr>
            <w:tcW w:w="2965" w:type="dxa"/>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573"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15"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2793"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573"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91" w:type="dxa"/>
            <w:tcBorders>
              <w:top w:val="nil"/>
              <w:left w:val="nil"/>
              <w:bottom w:val="single" w:color="000000" w:sz="4" w:space="0"/>
              <w:right w:val="single" w:color="000000" w:sz="8"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一、一般公共预算财政拨款收入</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3,637.92</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一、一般公共服务支出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35</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二、政府性基金预算财政拨款收入</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二、外交支出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36</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三、国有资本经营预算财政拨款收入</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三、国防支出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37</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四、上级补助收入</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四、公共安全支出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38</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五、事业收入</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五、教育支出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39</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六、经营收入</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六、科学技术支出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40</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七、附属单位上缴收入</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7</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七、文化旅游体育与传媒支出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41</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2,820.65</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八、其他收入</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8</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八、社会保障和就业支出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42</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9</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九、卫生健康支出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43</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10</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十、节能环保支出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44</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十一、城乡社区支出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45</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12</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十二、农林水支出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46</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13</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十三、交通运输支出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47</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14</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十四、资源勘探工业信息等支出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48</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15</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十五、商业服务业等支出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49</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16</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十六、金融支出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50</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17</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十七、援助其他地区支出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51</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18</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十八、自然资源海洋气象等支出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52</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19</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十九、住房保障支出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53</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20</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二十、粮油物资储备支出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54</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21</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二十一、国有资本经营预算支出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55</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22</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二十二、灾害防治及应急管理支出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56</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23</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二十三、其他支出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57</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24</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二十四、债务还本支出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58</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25</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二十五、债务付息支出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59</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26</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二十六、抗疫特别国债安排的支出</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60</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本年收入合计</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27</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3,744.14</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本年支出合计</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61</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3,372.10</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使用非财政拨款结余</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28</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结余分配</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62</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年初结转和结余</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29</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63</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372.04</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30</w:t>
            </w:r>
          </w:p>
        </w:tc>
        <w:tc>
          <w:tcPr>
            <w:tcW w:w="9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7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7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64</w:t>
            </w:r>
          </w:p>
        </w:tc>
        <w:tc>
          <w:tcPr>
            <w:tcW w:w="1091"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965" w:type="dxa"/>
            <w:tcBorders>
              <w:top w:val="single" w:color="000000" w:sz="4" w:space="0"/>
              <w:left w:val="single" w:color="000000" w:sz="4" w:space="0"/>
              <w:bottom w:val="single" w:color="000000" w:sz="8"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总计</w:t>
            </w:r>
          </w:p>
        </w:tc>
        <w:tc>
          <w:tcPr>
            <w:tcW w:w="573" w:type="dxa"/>
            <w:tcBorders>
              <w:top w:val="single" w:color="000000" w:sz="4" w:space="0"/>
              <w:left w:val="nil"/>
              <w:bottom w:val="single" w:color="000000" w:sz="8"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31</w:t>
            </w:r>
          </w:p>
        </w:tc>
        <w:tc>
          <w:tcPr>
            <w:tcW w:w="915"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3,744.14</w:t>
            </w:r>
          </w:p>
        </w:tc>
        <w:tc>
          <w:tcPr>
            <w:tcW w:w="2793" w:type="dxa"/>
            <w:tcBorders>
              <w:top w:val="single" w:color="000000" w:sz="4" w:space="0"/>
              <w:left w:val="nil"/>
              <w:bottom w:val="single" w:color="000000" w:sz="8"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总计</w:t>
            </w:r>
          </w:p>
        </w:tc>
        <w:tc>
          <w:tcPr>
            <w:tcW w:w="573" w:type="dxa"/>
            <w:tcBorders>
              <w:top w:val="single" w:color="000000" w:sz="4" w:space="0"/>
              <w:left w:val="nil"/>
              <w:bottom w:val="single" w:color="000000" w:sz="8"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65</w:t>
            </w:r>
          </w:p>
        </w:tc>
        <w:tc>
          <w:tcPr>
            <w:tcW w:w="1091" w:type="dxa"/>
            <w:tcBorders>
              <w:top w:val="nil"/>
              <w:left w:val="nil"/>
              <w:bottom w:val="single" w:color="000000" w:sz="8"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3,744.14</w:t>
            </w:r>
          </w:p>
        </w:tc>
      </w:tr>
      <w:tr>
        <w:tblPrEx>
          <w:tblLayout w:type="fixed"/>
          <w:tblCellMar>
            <w:top w:w="0" w:type="dxa"/>
            <w:left w:w="108" w:type="dxa"/>
            <w:bottom w:w="0" w:type="dxa"/>
            <w:right w:w="108" w:type="dxa"/>
          </w:tblCellMar>
        </w:tblPrEx>
        <w:trPr>
          <w:trHeight w:val="308" w:hRule="atLeast"/>
        </w:trPr>
        <w:tc>
          <w:tcPr>
            <w:tcW w:w="8910" w:type="dxa"/>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注：本表反映部门本年度的总收支和年末结转结余情况；本套报表金额单位转换成万元时，因四舍五入可能存在尾数误差。</w:t>
            </w:r>
          </w:p>
        </w:tc>
      </w:tr>
    </w:tbl>
    <w:p>
      <w:pPr>
        <w:ind w:firstLine="628" w:firstLineChars="200"/>
        <w:rPr>
          <w:rFonts w:ascii="黑体" w:hAnsi="黑体" w:eastAsia="黑体"/>
          <w:szCs w:val="32"/>
        </w:rPr>
      </w:pPr>
    </w:p>
    <w:tbl>
      <w:tblPr>
        <w:tblStyle w:val="6"/>
        <w:tblW w:w="8910" w:type="dxa"/>
        <w:tblInd w:w="93" w:type="dxa"/>
        <w:tblLayout w:type="fixed"/>
        <w:tblCellMar>
          <w:top w:w="0" w:type="dxa"/>
          <w:left w:w="108" w:type="dxa"/>
          <w:bottom w:w="0" w:type="dxa"/>
          <w:right w:w="108" w:type="dxa"/>
        </w:tblCellMar>
      </w:tblPr>
      <w:tblGrid>
        <w:gridCol w:w="362"/>
        <w:gridCol w:w="363"/>
        <w:gridCol w:w="363"/>
        <w:gridCol w:w="3293"/>
        <w:gridCol w:w="807"/>
        <w:gridCol w:w="807"/>
        <w:gridCol w:w="363"/>
        <w:gridCol w:w="363"/>
        <w:gridCol w:w="509"/>
        <w:gridCol w:w="363"/>
        <w:gridCol w:w="363"/>
        <w:gridCol w:w="954"/>
      </w:tblGrid>
      <w:tr>
        <w:tblPrEx>
          <w:tblLayout w:type="fixed"/>
          <w:tblCellMar>
            <w:top w:w="0" w:type="dxa"/>
            <w:left w:w="108" w:type="dxa"/>
            <w:bottom w:w="0" w:type="dxa"/>
            <w:right w:w="108" w:type="dxa"/>
          </w:tblCellMar>
        </w:tblPrEx>
        <w:trPr>
          <w:trHeight w:val="390" w:hRule="atLeast"/>
        </w:trPr>
        <w:tc>
          <w:tcPr>
            <w:tcW w:w="8910" w:type="dxa"/>
            <w:gridSpan w:val="1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Layout w:type="fixed"/>
          <w:tblCellMar>
            <w:top w:w="0" w:type="dxa"/>
            <w:left w:w="108" w:type="dxa"/>
            <w:bottom w:w="0" w:type="dxa"/>
            <w:right w:w="108" w:type="dxa"/>
          </w:tblCellMar>
        </w:tblPrEx>
        <w:trPr>
          <w:trHeight w:val="255" w:hRule="atLeast"/>
        </w:trPr>
        <w:tc>
          <w:tcPr>
            <w:tcW w:w="36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29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8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8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0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95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公开02表</w:t>
            </w:r>
          </w:p>
        </w:tc>
      </w:tr>
      <w:tr>
        <w:tblPrEx>
          <w:tblLayout w:type="fixed"/>
          <w:tblCellMar>
            <w:top w:w="0" w:type="dxa"/>
            <w:left w:w="108" w:type="dxa"/>
            <w:bottom w:w="0" w:type="dxa"/>
            <w:right w:w="108" w:type="dxa"/>
          </w:tblCellMar>
        </w:tblPrEx>
        <w:trPr>
          <w:trHeight w:val="255" w:hRule="atLeast"/>
        </w:trPr>
        <w:tc>
          <w:tcPr>
            <w:tcW w:w="4381" w:type="dxa"/>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单位：黄山市广播电视台（本级）</w:t>
            </w:r>
          </w:p>
        </w:tc>
        <w:tc>
          <w:tcPr>
            <w:tcW w:w="807"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807"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363"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363"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509"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363"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363"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954" w:type="dxa"/>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108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3293" w:type="dxa"/>
            <w:vMerge w:val="restar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807"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本年收入合计</w:t>
            </w:r>
          </w:p>
        </w:tc>
        <w:tc>
          <w:tcPr>
            <w:tcW w:w="807"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财政拨款收入</w:t>
            </w:r>
          </w:p>
        </w:tc>
        <w:tc>
          <w:tcPr>
            <w:tcW w:w="363"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上级补助收入</w:t>
            </w:r>
          </w:p>
        </w:tc>
        <w:tc>
          <w:tcPr>
            <w:tcW w:w="872" w:type="dxa"/>
            <w:gridSpan w:val="2"/>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事业收入</w:t>
            </w:r>
          </w:p>
        </w:tc>
        <w:tc>
          <w:tcPr>
            <w:tcW w:w="363"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经营收入</w:t>
            </w:r>
          </w:p>
        </w:tc>
        <w:tc>
          <w:tcPr>
            <w:tcW w:w="363"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附属单位上缴收入</w:t>
            </w:r>
          </w:p>
        </w:tc>
        <w:tc>
          <w:tcPr>
            <w:tcW w:w="954"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其他收入</w:t>
            </w:r>
          </w:p>
        </w:tc>
      </w:tr>
      <w:tr>
        <w:tblPrEx>
          <w:tblLayout w:type="fixed"/>
          <w:tblCellMar>
            <w:top w:w="0" w:type="dxa"/>
            <w:left w:w="108" w:type="dxa"/>
            <w:bottom w:w="0" w:type="dxa"/>
            <w:right w:w="108" w:type="dxa"/>
          </w:tblCellMar>
        </w:tblPrEx>
        <w:trPr>
          <w:trHeight w:val="569" w:hRule="atLeast"/>
        </w:trPr>
        <w:tc>
          <w:tcPr>
            <w:tcW w:w="108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2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80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80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63"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小计</w:t>
            </w:r>
          </w:p>
        </w:tc>
        <w:tc>
          <w:tcPr>
            <w:tcW w:w="50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其中：教育收费</w:t>
            </w:r>
          </w:p>
        </w:tc>
        <w:tc>
          <w:tcPr>
            <w:tcW w:w="3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569" w:hRule="atLeast"/>
        </w:trPr>
        <w:tc>
          <w:tcPr>
            <w:tcW w:w="108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2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80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80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6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50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569" w:hRule="atLeast"/>
        </w:trPr>
        <w:tc>
          <w:tcPr>
            <w:tcW w:w="108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2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80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80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6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50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6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363" w:type="dxa"/>
            <w:vMerge w:val="restar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363" w:type="dxa"/>
            <w:vMerge w:val="restar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32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807" w:type="dxa"/>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807" w:type="dxa"/>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363" w:type="dxa"/>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363" w:type="dxa"/>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4</w:t>
            </w:r>
          </w:p>
        </w:tc>
        <w:tc>
          <w:tcPr>
            <w:tcW w:w="509" w:type="dxa"/>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363" w:type="dxa"/>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c>
          <w:tcPr>
            <w:tcW w:w="363" w:type="dxa"/>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7</w:t>
            </w:r>
          </w:p>
        </w:tc>
        <w:tc>
          <w:tcPr>
            <w:tcW w:w="954" w:type="dxa"/>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8</w:t>
            </w:r>
          </w:p>
        </w:tc>
      </w:tr>
      <w:tr>
        <w:tblPrEx>
          <w:tblLayout w:type="fixed"/>
          <w:tblCellMar>
            <w:top w:w="0" w:type="dxa"/>
            <w:left w:w="108" w:type="dxa"/>
            <w:bottom w:w="0" w:type="dxa"/>
            <w:right w:w="108" w:type="dxa"/>
          </w:tblCellMar>
        </w:tblPrEx>
        <w:trPr>
          <w:trHeight w:val="308"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363"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363"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3293"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3,744.14</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3,637.92</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rPr>
            </w:pPr>
            <w:r>
              <w:rPr>
                <w:rFonts w:hint="eastAsia" w:ascii="宋体" w:hAnsi="宋体" w:eastAsia="宋体" w:cs="Arial"/>
                <w:b/>
                <w:bCs/>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106.22</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一般公共服务支出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20136</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其他共产党事务支出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2013699</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其他共产党事务支出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教育支出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20508</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进修及培训</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2050802</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干部教育</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文化旅游体育与传媒支出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3,192.69</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3,192.69</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文化和旅游</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110.00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110.00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2070111</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文化创作与保护</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20.00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20.00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2070113</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旅游宣传</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90.00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90.00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广播电视</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3,082.69</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3,082.69</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2070807</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传输发射</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100.00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100.00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2070808</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广播电视事务</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2,951.49</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2,951.49</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2070899</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其他广播电视支出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31.20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31.20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社会保障和就业支出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行政事业单位养老支出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2080502</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事业单位离退休</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26.85</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26.85</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143.77</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143.77</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2080506</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机关事业单位职业年金缴费支出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55.14</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55.14</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卫生健康支出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行政事业单位医疗</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2101102</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事业单位医疗</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61.85</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61.85</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2101199</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其他行政事业单位医疗支出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农林水支出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21305</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扶贫</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2130599</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其他扶贫支出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住房保障支出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住房改革支出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2210201</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住房公积金</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109.03</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109.03</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2210202</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提租补贴</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41.19</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41.19</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229</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22904</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其他政府性基金及对应专项债务收入安排的支出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r>
      <w:tr>
        <w:tblPrEx>
          <w:tblLayout w:type="fixed"/>
          <w:tblCellMar>
            <w:top w:w="0" w:type="dxa"/>
            <w:left w:w="108" w:type="dxa"/>
            <w:bottom w:w="0" w:type="dxa"/>
            <w:right w:w="108" w:type="dxa"/>
          </w:tblCellMar>
        </w:tblPrEx>
        <w:trPr>
          <w:trHeight w:val="308" w:hRule="atLeast"/>
        </w:trPr>
        <w:tc>
          <w:tcPr>
            <w:tcW w:w="10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2290401</w:t>
            </w:r>
          </w:p>
        </w:tc>
        <w:tc>
          <w:tcPr>
            <w:tcW w:w="32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其他政府性基金安排的支出</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c>
          <w:tcPr>
            <w:tcW w:w="8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5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5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r>
      <w:tr>
        <w:tblPrEx>
          <w:tblLayout w:type="fixed"/>
          <w:tblCellMar>
            <w:top w:w="0" w:type="dxa"/>
            <w:left w:w="108" w:type="dxa"/>
            <w:bottom w:w="0" w:type="dxa"/>
            <w:right w:w="108" w:type="dxa"/>
          </w:tblCellMar>
        </w:tblPrEx>
        <w:trPr>
          <w:trHeight w:val="308" w:hRule="atLeast"/>
        </w:trPr>
        <w:tc>
          <w:tcPr>
            <w:tcW w:w="8910" w:type="dxa"/>
            <w:gridSpan w:val="12"/>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注：本表反映部门本年度取得的各项收入情况。</w:t>
            </w:r>
          </w:p>
        </w:tc>
      </w:tr>
    </w:tbl>
    <w:p>
      <w:pPr>
        <w:ind w:firstLine="628" w:firstLineChars="200"/>
        <w:rPr>
          <w:rFonts w:ascii="黑体" w:hAnsi="黑体" w:eastAsia="黑体"/>
          <w:szCs w:val="32"/>
        </w:rPr>
      </w:pPr>
    </w:p>
    <w:tbl>
      <w:tblPr>
        <w:tblStyle w:val="6"/>
        <w:tblW w:w="8910" w:type="dxa"/>
        <w:tblInd w:w="93" w:type="dxa"/>
        <w:tblLayout w:type="fixed"/>
        <w:tblCellMar>
          <w:top w:w="0" w:type="dxa"/>
          <w:left w:w="108" w:type="dxa"/>
          <w:bottom w:w="0" w:type="dxa"/>
          <w:right w:w="108" w:type="dxa"/>
        </w:tblCellMar>
      </w:tblPr>
      <w:tblGrid>
        <w:gridCol w:w="377"/>
        <w:gridCol w:w="377"/>
        <w:gridCol w:w="376"/>
        <w:gridCol w:w="3580"/>
        <w:gridCol w:w="862"/>
        <w:gridCol w:w="862"/>
        <w:gridCol w:w="701"/>
        <w:gridCol w:w="376"/>
        <w:gridCol w:w="376"/>
        <w:gridCol w:w="1023"/>
      </w:tblGrid>
      <w:tr>
        <w:tblPrEx>
          <w:tblLayout w:type="fixed"/>
          <w:tblCellMar>
            <w:top w:w="0" w:type="dxa"/>
            <w:left w:w="108" w:type="dxa"/>
            <w:bottom w:w="0" w:type="dxa"/>
            <w:right w:w="108" w:type="dxa"/>
          </w:tblCellMar>
        </w:tblPrEx>
        <w:trPr>
          <w:trHeight w:val="390" w:hRule="atLeast"/>
        </w:trPr>
        <w:tc>
          <w:tcPr>
            <w:tcW w:w="8910"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Layout w:type="fixed"/>
          <w:tblCellMar>
            <w:top w:w="0" w:type="dxa"/>
            <w:left w:w="108" w:type="dxa"/>
            <w:bottom w:w="0" w:type="dxa"/>
            <w:right w:w="108" w:type="dxa"/>
          </w:tblCellMar>
        </w:tblPrEx>
        <w:trPr>
          <w:trHeight w:val="255" w:hRule="atLeast"/>
        </w:trPr>
        <w:tc>
          <w:tcPr>
            <w:tcW w:w="37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7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86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86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2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公开03表</w:t>
            </w:r>
          </w:p>
        </w:tc>
      </w:tr>
      <w:tr>
        <w:tblPrEx>
          <w:tblLayout w:type="fixed"/>
          <w:tblCellMar>
            <w:top w:w="0" w:type="dxa"/>
            <w:left w:w="108" w:type="dxa"/>
            <w:bottom w:w="0" w:type="dxa"/>
            <w:right w:w="108" w:type="dxa"/>
          </w:tblCellMar>
        </w:tblPrEx>
        <w:trPr>
          <w:trHeight w:val="255" w:hRule="atLeast"/>
        </w:trPr>
        <w:tc>
          <w:tcPr>
            <w:tcW w:w="4710" w:type="dxa"/>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单位：黄山市广播电视台（本级）</w:t>
            </w:r>
          </w:p>
        </w:tc>
        <w:tc>
          <w:tcPr>
            <w:tcW w:w="862"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862"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701"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37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37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1023" w:type="dxa"/>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569" w:hRule="atLeast"/>
        </w:trPr>
        <w:tc>
          <w:tcPr>
            <w:tcW w:w="113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3580"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86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本年支出合计</w:t>
            </w:r>
          </w:p>
        </w:tc>
        <w:tc>
          <w:tcPr>
            <w:tcW w:w="86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70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37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上缴上级支出</w:t>
            </w:r>
          </w:p>
        </w:tc>
        <w:tc>
          <w:tcPr>
            <w:tcW w:w="37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经营支出</w:t>
            </w:r>
          </w:p>
        </w:tc>
        <w:tc>
          <w:tcPr>
            <w:tcW w:w="1023"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569" w:hRule="atLeast"/>
        </w:trPr>
        <w:tc>
          <w:tcPr>
            <w:tcW w:w="11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5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86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86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70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02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569" w:hRule="atLeast"/>
        </w:trPr>
        <w:tc>
          <w:tcPr>
            <w:tcW w:w="11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5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86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86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70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02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569" w:hRule="atLeast"/>
        </w:trPr>
        <w:tc>
          <w:tcPr>
            <w:tcW w:w="11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5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86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86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70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023"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377" w:type="dxa"/>
            <w:vMerge w:val="restar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377"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376"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3580" w:type="dxa"/>
            <w:tcBorders>
              <w:top w:val="nil"/>
              <w:left w:val="nil"/>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862"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862"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701"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376"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376"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1023"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3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7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580" w:type="dxa"/>
            <w:tcBorders>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3,372.10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3,265.88</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106.22</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w:t>
            </w:r>
          </w:p>
        </w:tc>
        <w:tc>
          <w:tcPr>
            <w:tcW w:w="358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一般公共服务支出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20136</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其他共产党事务支出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2013699</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其他共产党事务支出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教育支出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20508</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进修及培训</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2050802</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干部教育</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文化旅游体育与传媒支出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2,820.65</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2,820.65</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文化和旅游</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110.00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110.00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2070111</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文化创作与保护</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20.00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20.00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2070113</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旅游宣传</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90.00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90.00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广播电视</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2,710.65</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2,710.65</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2070807</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传输发射</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100.00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100.00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2070808</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广播电视事务</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2,579.45</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2,579.45</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2070899</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其他广播电视支出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31.20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31.20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社会保障和就业支出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行政事业单位养老支出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2080502</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事业单位离退休</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26.85</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26.85</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143.77</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143.77</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2080506</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机关事业单位职业年金缴费支出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55.14</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55.14</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卫生健康支出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行政事业单位医疗</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2101102</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事业单位医疗</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61.85</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61.85</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2101199</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其他行政事业单位医疗支出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农林水支出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21305</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扶贫</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2130599</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其他扶贫支出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住房保障支出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住房改革支出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2210201</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住房公积金</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109.03</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109.03</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2210202</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提租补贴</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41.19</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41.19</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229</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22904</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其他政府性基金及对应专项债务收入安排的支出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13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2290401</w:t>
            </w:r>
          </w:p>
        </w:tc>
        <w:tc>
          <w:tcPr>
            <w:tcW w:w="35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其他政府性基金安排的支出</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c>
          <w:tcPr>
            <w:tcW w:w="8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106.22</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2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8910"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注：本表反映部门本年度各项支出情况。</w:t>
            </w:r>
          </w:p>
        </w:tc>
      </w:tr>
    </w:tbl>
    <w:p>
      <w:pPr>
        <w:ind w:firstLine="628" w:firstLineChars="200"/>
        <w:rPr>
          <w:rFonts w:ascii="黑体" w:hAnsi="黑体" w:eastAsia="黑体"/>
          <w:szCs w:val="32"/>
        </w:rPr>
      </w:pPr>
    </w:p>
    <w:tbl>
      <w:tblPr>
        <w:tblStyle w:val="6"/>
        <w:tblW w:w="8910" w:type="dxa"/>
        <w:tblInd w:w="93" w:type="dxa"/>
        <w:tblLayout w:type="fixed"/>
        <w:tblCellMar>
          <w:top w:w="0" w:type="dxa"/>
          <w:left w:w="108" w:type="dxa"/>
          <w:bottom w:w="0" w:type="dxa"/>
          <w:right w:w="108" w:type="dxa"/>
        </w:tblCellMar>
      </w:tblPr>
      <w:tblGrid>
        <w:gridCol w:w="2205"/>
        <w:gridCol w:w="359"/>
        <w:gridCol w:w="784"/>
        <w:gridCol w:w="2347"/>
        <w:gridCol w:w="358"/>
        <w:gridCol w:w="784"/>
        <w:gridCol w:w="784"/>
        <w:gridCol w:w="358"/>
        <w:gridCol w:w="931"/>
      </w:tblGrid>
      <w:tr>
        <w:tblPrEx>
          <w:tblLayout w:type="fixed"/>
          <w:tblCellMar>
            <w:top w:w="0" w:type="dxa"/>
            <w:left w:w="108" w:type="dxa"/>
            <w:bottom w:w="0" w:type="dxa"/>
            <w:right w:w="108" w:type="dxa"/>
          </w:tblCellMar>
        </w:tblPrEx>
        <w:trPr>
          <w:trHeight w:val="390" w:hRule="atLeast"/>
        </w:trPr>
        <w:tc>
          <w:tcPr>
            <w:tcW w:w="8910"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r>
      <w:tr>
        <w:tblPrEx>
          <w:tblLayout w:type="fixed"/>
          <w:tblCellMar>
            <w:top w:w="0" w:type="dxa"/>
            <w:left w:w="108" w:type="dxa"/>
            <w:bottom w:w="0" w:type="dxa"/>
            <w:right w:w="108" w:type="dxa"/>
          </w:tblCellMar>
        </w:tblPrEx>
        <w:trPr>
          <w:trHeight w:val="255" w:hRule="atLeast"/>
        </w:trPr>
        <w:tc>
          <w:tcPr>
            <w:tcW w:w="220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34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5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5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931"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公开04表</w:t>
            </w:r>
          </w:p>
        </w:tc>
      </w:tr>
      <w:tr>
        <w:tblPrEx>
          <w:tblLayout w:type="fixed"/>
          <w:tblCellMar>
            <w:top w:w="0" w:type="dxa"/>
            <w:left w:w="108" w:type="dxa"/>
            <w:bottom w:w="0" w:type="dxa"/>
            <w:right w:w="108" w:type="dxa"/>
          </w:tblCellMar>
        </w:tblPrEx>
        <w:trPr>
          <w:trHeight w:val="255" w:hRule="atLeast"/>
        </w:trPr>
        <w:tc>
          <w:tcPr>
            <w:tcW w:w="2205"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单位：黄山市广播电视台（本级）</w:t>
            </w:r>
          </w:p>
        </w:tc>
        <w:tc>
          <w:tcPr>
            <w:tcW w:w="359"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2347"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358"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358"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931" w:type="dxa"/>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334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收     入</w:t>
            </w:r>
          </w:p>
        </w:tc>
        <w:tc>
          <w:tcPr>
            <w:tcW w:w="5562" w:type="dxa"/>
            <w:gridSpan w:val="6"/>
            <w:tcBorders>
              <w:top w:val="single" w:color="000000" w:sz="4" w:space="0"/>
              <w:left w:val="nil"/>
              <w:bottom w:val="single" w:color="000000" w:sz="4" w:space="0"/>
              <w:right w:val="single" w:color="000000" w:sz="8"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     出</w:t>
            </w:r>
          </w:p>
        </w:tc>
      </w:tr>
      <w:tr>
        <w:tblPrEx>
          <w:tblLayout w:type="fixed"/>
          <w:tblCellMar>
            <w:top w:w="0" w:type="dxa"/>
            <w:left w:w="108" w:type="dxa"/>
            <w:bottom w:w="0" w:type="dxa"/>
            <w:right w:w="108" w:type="dxa"/>
          </w:tblCellMar>
        </w:tblPrEx>
        <w:trPr>
          <w:trHeight w:val="569" w:hRule="atLeast"/>
        </w:trPr>
        <w:tc>
          <w:tcPr>
            <w:tcW w:w="2205"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35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行次</w:t>
            </w:r>
          </w:p>
        </w:tc>
        <w:tc>
          <w:tcPr>
            <w:tcW w:w="784"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c>
          <w:tcPr>
            <w:tcW w:w="2347"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358"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行次</w:t>
            </w:r>
          </w:p>
        </w:tc>
        <w:tc>
          <w:tcPr>
            <w:tcW w:w="784"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小计</w:t>
            </w:r>
          </w:p>
        </w:tc>
        <w:tc>
          <w:tcPr>
            <w:tcW w:w="784"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一般公共预算财政拨款</w:t>
            </w:r>
          </w:p>
        </w:tc>
        <w:tc>
          <w:tcPr>
            <w:tcW w:w="358"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政府性基金预算财政拨款</w:t>
            </w:r>
          </w:p>
        </w:tc>
        <w:tc>
          <w:tcPr>
            <w:tcW w:w="931" w:type="dxa"/>
            <w:vMerge w:val="restart"/>
            <w:tcBorders>
              <w:top w:val="nil"/>
              <w:left w:val="nil"/>
              <w:bottom w:val="single" w:color="000000" w:sz="4" w:space="0"/>
              <w:right w:val="single" w:color="000000" w:sz="8"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国有资本经营预算财政拨款</w:t>
            </w:r>
          </w:p>
        </w:tc>
      </w:tr>
      <w:tr>
        <w:tblPrEx>
          <w:tblLayout w:type="fixed"/>
          <w:tblCellMar>
            <w:top w:w="0" w:type="dxa"/>
            <w:left w:w="108" w:type="dxa"/>
            <w:bottom w:w="0" w:type="dxa"/>
            <w:right w:w="108" w:type="dxa"/>
          </w:tblCellMar>
        </w:tblPrEx>
        <w:trPr>
          <w:trHeight w:val="615" w:hRule="atLeast"/>
        </w:trPr>
        <w:tc>
          <w:tcPr>
            <w:tcW w:w="2205"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2347"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58"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58"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931" w:type="dxa"/>
            <w:vMerge w:val="continue"/>
            <w:tcBorders>
              <w:top w:val="nil"/>
              <w:left w:val="nil"/>
              <w:bottom w:val="single" w:color="000000" w:sz="4" w:space="0"/>
              <w:right w:val="single" w:color="000000" w:sz="8" w:space="0"/>
            </w:tcBorders>
            <w:shd w:val="clear" w:color="auto" w:fill="FFFFFF" w:themeFill="background1"/>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2205"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359"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234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358"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784"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358"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931" w:type="dxa"/>
            <w:tcBorders>
              <w:top w:val="nil"/>
              <w:left w:val="nil"/>
              <w:bottom w:val="single" w:color="000000" w:sz="4" w:space="0"/>
              <w:right w:val="single" w:color="000000" w:sz="8" w:space="0"/>
            </w:tcBorders>
            <w:shd w:val="clear" w:color="auto" w:fill="FFFFFF" w:themeFill="background1"/>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5</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一、一般公共预算财政拨款</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3,637.92</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一、一般公共服务支出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二、政府性基金预算财政拨款</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二、外交支出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31</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三、国有资本经营预算财政拨款</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三、国防支出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32</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四、公共安全支出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33</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五、教育支出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34</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六、科学技术支出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35</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7</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七、文化旅游体育与传媒支出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36</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2,820.65</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2,820.65</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8</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八、社会保障和就业支出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37</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9</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九、卫生健康支出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38</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十、节能环保支出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39</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十一、城乡社区支出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12</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十二、农林水支出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41</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13</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十三、交通运输支出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42</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14</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十四、资源勘探工业信息等支出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43</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15</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十五、商业服务业等支出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44</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16</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十六、金融支出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45</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17</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十七、援助其他地区支出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46</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18</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十八、自然资源海洋气象等支出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47</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19</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十九、住房保障支出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48</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二十、粮油物资储备支出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49</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21</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二十一、国有资本经营预算支出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22</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二十二、灾害防治及应急管理支出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51</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23</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二十三、其他支出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52</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本年收入合计</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24</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3,637.92</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二十四、债务还本支出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53</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年初财政拨款结转和结余</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25</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二十五、债务付息支出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54</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一般公共预算财政拨款</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26</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二十六、抗疫特别国债安排的支出</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55</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政府性基金预算财政拨款</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27</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本年支出合计</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56</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3,265.88</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3,265.88</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国有资本经营预算财政拨款</w:t>
            </w:r>
          </w:p>
        </w:tc>
        <w:tc>
          <w:tcPr>
            <w:tcW w:w="359"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28</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34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年末财政拨款结转和结余</w:t>
            </w:r>
          </w:p>
        </w:tc>
        <w:tc>
          <w:tcPr>
            <w:tcW w:w="35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57</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372.04</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372.04</w:t>
            </w:r>
          </w:p>
        </w:tc>
        <w:tc>
          <w:tcPr>
            <w:tcW w:w="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205" w:type="dxa"/>
            <w:tcBorders>
              <w:top w:val="single" w:color="000000" w:sz="4" w:space="0"/>
              <w:left w:val="single" w:color="000000" w:sz="4" w:space="0"/>
              <w:bottom w:val="single" w:color="000000" w:sz="8"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总计</w:t>
            </w:r>
          </w:p>
        </w:tc>
        <w:tc>
          <w:tcPr>
            <w:tcW w:w="359" w:type="dxa"/>
            <w:tcBorders>
              <w:top w:val="single" w:color="000000" w:sz="4" w:space="0"/>
              <w:left w:val="nil"/>
              <w:bottom w:val="single" w:color="000000" w:sz="8"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29</w:t>
            </w:r>
          </w:p>
        </w:tc>
        <w:tc>
          <w:tcPr>
            <w:tcW w:w="784"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3,637.92</w:t>
            </w:r>
          </w:p>
        </w:tc>
        <w:tc>
          <w:tcPr>
            <w:tcW w:w="2347" w:type="dxa"/>
            <w:tcBorders>
              <w:top w:val="single" w:color="000000" w:sz="4" w:space="0"/>
              <w:left w:val="nil"/>
              <w:bottom w:val="single" w:color="000000" w:sz="8"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总计</w:t>
            </w:r>
          </w:p>
        </w:tc>
        <w:tc>
          <w:tcPr>
            <w:tcW w:w="358" w:type="dxa"/>
            <w:tcBorders>
              <w:top w:val="single" w:color="000000" w:sz="4" w:space="0"/>
              <w:left w:val="nil"/>
              <w:bottom w:val="single" w:color="000000" w:sz="8"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58</w:t>
            </w:r>
          </w:p>
        </w:tc>
        <w:tc>
          <w:tcPr>
            <w:tcW w:w="784"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3,637.92</w:t>
            </w:r>
          </w:p>
        </w:tc>
        <w:tc>
          <w:tcPr>
            <w:tcW w:w="784"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3,637.92</w:t>
            </w:r>
          </w:p>
        </w:tc>
        <w:tc>
          <w:tcPr>
            <w:tcW w:w="358"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931" w:type="dxa"/>
            <w:tcBorders>
              <w:top w:val="nil"/>
              <w:left w:val="nil"/>
              <w:bottom w:val="single" w:color="000000" w:sz="8"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537" w:hRule="atLeast"/>
        </w:trPr>
        <w:tc>
          <w:tcPr>
            <w:tcW w:w="8910" w:type="dxa"/>
            <w:gridSpan w:val="9"/>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注：本表反映部门本年度一般公共预算财政拨款、政府性基金预算财政拨款和国有资本经营预算财政拨款的总收支和年末结转结余情况。</w:t>
            </w:r>
          </w:p>
        </w:tc>
      </w:tr>
    </w:tbl>
    <w:p>
      <w:pPr>
        <w:ind w:firstLine="628" w:firstLineChars="200"/>
        <w:rPr>
          <w:rFonts w:ascii="黑体" w:hAnsi="黑体" w:eastAsia="黑体"/>
          <w:szCs w:val="32"/>
        </w:rPr>
      </w:pPr>
    </w:p>
    <w:tbl>
      <w:tblPr>
        <w:tblStyle w:val="6"/>
        <w:tblW w:w="8910" w:type="dxa"/>
        <w:tblInd w:w="93" w:type="dxa"/>
        <w:tblLayout w:type="fixed"/>
        <w:tblCellMar>
          <w:top w:w="0" w:type="dxa"/>
          <w:left w:w="108" w:type="dxa"/>
          <w:bottom w:w="0" w:type="dxa"/>
          <w:right w:w="108" w:type="dxa"/>
        </w:tblCellMar>
      </w:tblPr>
      <w:tblGrid>
        <w:gridCol w:w="536"/>
        <w:gridCol w:w="536"/>
        <w:gridCol w:w="536"/>
        <w:gridCol w:w="3851"/>
        <w:gridCol w:w="1079"/>
        <w:gridCol w:w="1079"/>
        <w:gridCol w:w="1293"/>
      </w:tblGrid>
      <w:tr>
        <w:tblPrEx>
          <w:tblLayout w:type="fixed"/>
          <w:tblCellMar>
            <w:top w:w="0" w:type="dxa"/>
            <w:left w:w="108" w:type="dxa"/>
            <w:bottom w:w="0" w:type="dxa"/>
            <w:right w:w="108" w:type="dxa"/>
          </w:tblCellMar>
        </w:tblPrEx>
        <w:trPr>
          <w:trHeight w:val="390" w:hRule="atLeast"/>
        </w:trPr>
        <w:tc>
          <w:tcPr>
            <w:tcW w:w="8910"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Layout w:type="fixed"/>
          <w:tblCellMar>
            <w:top w:w="0" w:type="dxa"/>
            <w:left w:w="108" w:type="dxa"/>
            <w:bottom w:w="0" w:type="dxa"/>
            <w:right w:w="108" w:type="dxa"/>
          </w:tblCellMar>
        </w:tblPrEx>
        <w:trPr>
          <w:trHeight w:val="255" w:hRule="atLeast"/>
        </w:trPr>
        <w:tc>
          <w:tcPr>
            <w:tcW w:w="5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8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7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7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29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公开05表</w:t>
            </w:r>
          </w:p>
        </w:tc>
      </w:tr>
      <w:tr>
        <w:tblPrEx>
          <w:tblLayout w:type="fixed"/>
          <w:tblCellMar>
            <w:top w:w="0" w:type="dxa"/>
            <w:left w:w="108" w:type="dxa"/>
            <w:bottom w:w="0" w:type="dxa"/>
            <w:right w:w="108" w:type="dxa"/>
          </w:tblCellMar>
        </w:tblPrEx>
        <w:trPr>
          <w:trHeight w:val="255" w:hRule="atLeast"/>
        </w:trPr>
        <w:tc>
          <w:tcPr>
            <w:tcW w:w="5459" w:type="dxa"/>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单位：黄山市广播电视台（本级）</w:t>
            </w:r>
          </w:p>
        </w:tc>
        <w:tc>
          <w:tcPr>
            <w:tcW w:w="1079"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1079"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1293" w:type="dxa"/>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160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385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3451"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r>
      <w:tr>
        <w:tblPrEx>
          <w:tblLayout w:type="fixed"/>
          <w:tblCellMar>
            <w:top w:w="0" w:type="dxa"/>
            <w:left w:w="108" w:type="dxa"/>
            <w:bottom w:w="0" w:type="dxa"/>
            <w:right w:w="108" w:type="dxa"/>
          </w:tblCellMar>
        </w:tblPrEx>
        <w:trPr>
          <w:trHeight w:val="569" w:hRule="atLeast"/>
        </w:trPr>
        <w:tc>
          <w:tcPr>
            <w:tcW w:w="16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85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07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07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293"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tblPrEx>
          <w:tblLayout w:type="fixed"/>
          <w:tblCellMar>
            <w:top w:w="0" w:type="dxa"/>
            <w:left w:w="108" w:type="dxa"/>
            <w:bottom w:w="0" w:type="dxa"/>
            <w:right w:w="108" w:type="dxa"/>
          </w:tblCellMar>
        </w:tblPrEx>
        <w:trPr>
          <w:trHeight w:val="569" w:hRule="atLeast"/>
        </w:trPr>
        <w:tc>
          <w:tcPr>
            <w:tcW w:w="16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85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07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07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29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trPr>
        <w:tc>
          <w:tcPr>
            <w:tcW w:w="16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385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07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07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293"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536"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536"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536"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3851"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079"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293"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5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5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5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851" w:type="dxa"/>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3,265.88</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3,265.88</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一般公共服务支出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20136</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其他共产党事务支出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2013699</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其他共产党事务支出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1.80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教育支出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20508</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进修及培训</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2050802</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干部教育</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文化旅游体育与传媒支出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2,820.65</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2,820.65</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文化和旅游</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110.00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110.00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2070111</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文化创作与保护</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20.00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20.00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2070113</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旅游宣传</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90.00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90.00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广播电视</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2,710.65</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2,710.65</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2070807</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传输发射</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100.00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100.00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2070808</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广播电视事务</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2,579.45</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2,579.45</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2070899</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其他广播电视支出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31.20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31.20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社会保障和就业支出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行政事业单位养老支出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225.76</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2080502</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事业单位离退休</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26.85</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26.85</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143.77</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143.77</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2080506</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机关事业单位职业年金缴费支出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55.14</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55.14</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卫生健康支出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行政事业单位医疗</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65.95</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2101102</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事业单位医疗</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61.85</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61.85</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2101199</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其他行政事业单位医疗支出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农林水支出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21305</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扶贫</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2130599</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其他扶贫支出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住房保障支出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住房改革支出</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150.22</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2210201</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住房公积金</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109.03</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109.03</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2210202</w:t>
            </w:r>
          </w:p>
        </w:tc>
        <w:tc>
          <w:tcPr>
            <w:tcW w:w="385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提租补贴</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41.19</w:t>
            </w:r>
          </w:p>
        </w:tc>
        <w:tc>
          <w:tcPr>
            <w:tcW w:w="10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41.19</w:t>
            </w:r>
          </w:p>
        </w:tc>
        <w:tc>
          <w:tcPr>
            <w:tcW w:w="12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8910"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注：本表反映部门本年度一般公共预算财政拨款支出情况。</w:t>
            </w:r>
          </w:p>
        </w:tc>
      </w:tr>
    </w:tbl>
    <w:p>
      <w:pPr>
        <w:ind w:firstLine="628" w:firstLineChars="200"/>
        <w:rPr>
          <w:rFonts w:ascii="黑体" w:hAnsi="黑体" w:eastAsia="黑体"/>
          <w:szCs w:val="32"/>
        </w:rPr>
      </w:pPr>
    </w:p>
    <w:tbl>
      <w:tblPr>
        <w:tblStyle w:val="6"/>
        <w:tblW w:w="8910" w:type="dxa"/>
        <w:tblInd w:w="93" w:type="dxa"/>
        <w:tblLayout w:type="fixed"/>
        <w:tblCellMar>
          <w:top w:w="0" w:type="dxa"/>
          <w:left w:w="108" w:type="dxa"/>
          <w:bottom w:w="0" w:type="dxa"/>
          <w:right w:w="108" w:type="dxa"/>
        </w:tblCellMar>
      </w:tblPr>
      <w:tblGrid>
        <w:gridCol w:w="487"/>
        <w:gridCol w:w="1848"/>
        <w:gridCol w:w="651"/>
        <w:gridCol w:w="488"/>
        <w:gridCol w:w="1304"/>
        <w:gridCol w:w="543"/>
        <w:gridCol w:w="488"/>
        <w:gridCol w:w="2337"/>
        <w:gridCol w:w="764"/>
      </w:tblGrid>
      <w:tr>
        <w:tblPrEx>
          <w:tblLayout w:type="fixed"/>
          <w:tblCellMar>
            <w:top w:w="0" w:type="dxa"/>
            <w:left w:w="108" w:type="dxa"/>
            <w:bottom w:w="0" w:type="dxa"/>
            <w:right w:w="108" w:type="dxa"/>
          </w:tblCellMar>
        </w:tblPrEx>
        <w:trPr>
          <w:trHeight w:val="390" w:hRule="atLeast"/>
        </w:trPr>
        <w:tc>
          <w:tcPr>
            <w:tcW w:w="8910"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48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4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6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30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4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33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6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公开06表</w:t>
            </w:r>
          </w:p>
        </w:tc>
      </w:tr>
      <w:tr>
        <w:tblPrEx>
          <w:tblLayout w:type="fixed"/>
          <w:tblCellMar>
            <w:top w:w="0" w:type="dxa"/>
            <w:left w:w="108" w:type="dxa"/>
            <w:bottom w:w="0" w:type="dxa"/>
            <w:right w:w="108" w:type="dxa"/>
          </w:tblCellMar>
        </w:tblPrEx>
        <w:trPr>
          <w:trHeight w:val="255" w:hRule="atLeast"/>
        </w:trPr>
        <w:tc>
          <w:tcPr>
            <w:tcW w:w="2335" w:type="dxa"/>
            <w:gridSpan w:val="2"/>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单位：黄山市广播电视台（本级）</w:t>
            </w:r>
          </w:p>
        </w:tc>
        <w:tc>
          <w:tcPr>
            <w:tcW w:w="651"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88"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1304"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543"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88"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2337"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764" w:type="dxa"/>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986" w:type="dxa"/>
            <w:gridSpan w:val="3"/>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人员经费</w:t>
            </w:r>
          </w:p>
        </w:tc>
        <w:tc>
          <w:tcPr>
            <w:tcW w:w="5924" w:type="dxa"/>
            <w:gridSpan w:val="6"/>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公用经费</w:t>
            </w:r>
          </w:p>
        </w:tc>
      </w:tr>
      <w:tr>
        <w:tblPrEx>
          <w:tblLayout w:type="fixed"/>
          <w:tblCellMar>
            <w:top w:w="0" w:type="dxa"/>
            <w:left w:w="108" w:type="dxa"/>
            <w:bottom w:w="0" w:type="dxa"/>
            <w:right w:w="108" w:type="dxa"/>
          </w:tblCellMar>
        </w:tblPrEx>
        <w:trPr>
          <w:trHeight w:val="569" w:hRule="atLeast"/>
        </w:trPr>
        <w:tc>
          <w:tcPr>
            <w:tcW w:w="487" w:type="dxa"/>
            <w:vMerge w:val="restart"/>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经济分类科目编码</w:t>
            </w:r>
          </w:p>
        </w:tc>
        <w:tc>
          <w:tcPr>
            <w:tcW w:w="1848" w:type="dxa"/>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651" w:type="dxa"/>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c>
          <w:tcPr>
            <w:tcW w:w="488" w:type="dxa"/>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经济分类科目编码</w:t>
            </w:r>
          </w:p>
        </w:tc>
        <w:tc>
          <w:tcPr>
            <w:tcW w:w="1304" w:type="dxa"/>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543" w:type="dxa"/>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c>
          <w:tcPr>
            <w:tcW w:w="488" w:type="dxa"/>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经济分类科目编码</w:t>
            </w:r>
          </w:p>
        </w:tc>
        <w:tc>
          <w:tcPr>
            <w:tcW w:w="2337" w:type="dxa"/>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764" w:type="dxa"/>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r>
      <w:tr>
        <w:tblPrEx>
          <w:tblLayout w:type="fixed"/>
          <w:tblCellMar>
            <w:top w:w="0" w:type="dxa"/>
            <w:left w:w="108" w:type="dxa"/>
            <w:bottom w:w="0" w:type="dxa"/>
            <w:right w:w="108" w:type="dxa"/>
          </w:tblCellMar>
        </w:tblPrEx>
        <w:trPr>
          <w:trHeight w:val="569" w:hRule="atLeast"/>
        </w:trPr>
        <w:tc>
          <w:tcPr>
            <w:tcW w:w="487" w:type="dxa"/>
            <w:vMerge w:val="continue"/>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1848" w:type="dxa"/>
            <w:vMerge w:val="continue"/>
            <w:tcBorders>
              <w:top w:val="nil"/>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651" w:type="dxa"/>
            <w:vMerge w:val="continue"/>
            <w:tcBorders>
              <w:top w:val="nil"/>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488" w:type="dxa"/>
            <w:vMerge w:val="continue"/>
            <w:tcBorders>
              <w:top w:val="nil"/>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1304" w:type="dxa"/>
            <w:vMerge w:val="continue"/>
            <w:tcBorders>
              <w:top w:val="nil"/>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543" w:type="dxa"/>
            <w:vMerge w:val="continue"/>
            <w:tcBorders>
              <w:top w:val="nil"/>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488" w:type="dxa"/>
            <w:vMerge w:val="continue"/>
            <w:tcBorders>
              <w:top w:val="nil"/>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2337" w:type="dxa"/>
            <w:vMerge w:val="continue"/>
            <w:tcBorders>
              <w:top w:val="nil"/>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764" w:type="dxa"/>
            <w:vMerge w:val="continue"/>
            <w:tcBorders>
              <w:top w:val="nil"/>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工资福利支出</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2,854.30</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商品和服务支出</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134.57</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307</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债务利息及费用支出</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30101</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基本工资</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767.38</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30201</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办公费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11.13</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30701</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国内债务付息</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30102</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津贴补贴</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30202</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印刷费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0.20</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30702</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国外债务付息</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30103</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奖金</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720.41</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30203</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咨询费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30703</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国内债务发行费用</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30106</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伙食补助费</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61.37</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30204</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手续费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0.01</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30704</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国外债务发行费用</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30107</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绩效工资</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424.17</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30205</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水费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0.53</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资本性支出</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241.20</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auto"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30108</w:t>
            </w:r>
          </w:p>
        </w:tc>
        <w:tc>
          <w:tcPr>
            <w:tcW w:w="1848" w:type="dxa"/>
            <w:tcBorders>
              <w:top w:val="single" w:color="000000" w:sz="4" w:space="0"/>
              <w:left w:val="nil"/>
              <w:bottom w:val="single" w:color="auto"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w:t>
            </w:r>
          </w:p>
        </w:tc>
        <w:tc>
          <w:tcPr>
            <w:tcW w:w="651"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143.77</w:t>
            </w:r>
          </w:p>
        </w:tc>
        <w:tc>
          <w:tcPr>
            <w:tcW w:w="488" w:type="dxa"/>
            <w:tcBorders>
              <w:top w:val="single" w:color="000000" w:sz="4" w:space="0"/>
              <w:left w:val="nil"/>
              <w:bottom w:val="single" w:color="auto"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30206</w:t>
            </w:r>
          </w:p>
        </w:tc>
        <w:tc>
          <w:tcPr>
            <w:tcW w:w="1304" w:type="dxa"/>
            <w:tcBorders>
              <w:top w:val="single" w:color="000000" w:sz="4" w:space="0"/>
              <w:left w:val="nil"/>
              <w:bottom w:val="single" w:color="auto"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电费</w:t>
            </w:r>
          </w:p>
        </w:tc>
        <w:tc>
          <w:tcPr>
            <w:tcW w:w="543"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42.00</w:t>
            </w:r>
          </w:p>
        </w:tc>
        <w:tc>
          <w:tcPr>
            <w:tcW w:w="488" w:type="dxa"/>
            <w:tcBorders>
              <w:top w:val="single" w:color="000000" w:sz="4" w:space="0"/>
              <w:left w:val="nil"/>
              <w:bottom w:val="single" w:color="auto"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31001</w:t>
            </w:r>
          </w:p>
        </w:tc>
        <w:tc>
          <w:tcPr>
            <w:tcW w:w="2337" w:type="dxa"/>
            <w:tcBorders>
              <w:top w:val="single" w:color="000000" w:sz="4" w:space="0"/>
              <w:left w:val="nil"/>
              <w:bottom w:val="single" w:color="auto"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房屋建筑物购建</w:t>
            </w:r>
          </w:p>
        </w:tc>
        <w:tc>
          <w:tcPr>
            <w:tcW w:w="764"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auto"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30109</w:t>
            </w:r>
          </w:p>
        </w:tc>
        <w:tc>
          <w:tcPr>
            <w:tcW w:w="1848" w:type="dxa"/>
            <w:tcBorders>
              <w:top w:val="single" w:color="auto"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职业年金缴费</w:t>
            </w:r>
          </w:p>
        </w:tc>
        <w:tc>
          <w:tcPr>
            <w:tcW w:w="651"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110.27</w:t>
            </w:r>
          </w:p>
        </w:tc>
        <w:tc>
          <w:tcPr>
            <w:tcW w:w="488" w:type="dxa"/>
            <w:tcBorders>
              <w:top w:val="single" w:color="auto"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30207</w:t>
            </w:r>
          </w:p>
        </w:tc>
        <w:tc>
          <w:tcPr>
            <w:tcW w:w="1304" w:type="dxa"/>
            <w:tcBorders>
              <w:top w:val="single" w:color="auto"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邮电费</w:t>
            </w:r>
          </w:p>
        </w:tc>
        <w:tc>
          <w:tcPr>
            <w:tcW w:w="543"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4.55</w:t>
            </w:r>
          </w:p>
        </w:tc>
        <w:tc>
          <w:tcPr>
            <w:tcW w:w="488" w:type="dxa"/>
            <w:tcBorders>
              <w:top w:val="single" w:color="auto"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31002</w:t>
            </w:r>
          </w:p>
        </w:tc>
        <w:tc>
          <w:tcPr>
            <w:tcW w:w="2337" w:type="dxa"/>
            <w:tcBorders>
              <w:top w:val="single" w:color="auto"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办公设备购置</w:t>
            </w:r>
          </w:p>
        </w:tc>
        <w:tc>
          <w:tcPr>
            <w:tcW w:w="764"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30110</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职工基本医疗保险缴费</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63.32</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30208</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取暖费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31003</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专用设备购置</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241.20</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30111</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公务员医疗补助缴费</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30209</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物业管理费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10.25</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31005</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基础设施建设</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30112</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其他社会保障缴费</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61.30</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30211</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差旅费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13.84</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31006</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大型修缮</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30113</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住房公积金</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121.92</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30212</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因公出国（境）费用</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31007</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信息网络及软件购置更新</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30114</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医疗费</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30213</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维修(护)费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2.13</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31008</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物资储备</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30199</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其他工资福利支出</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380.39</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30214</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租赁费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31009</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土地补偿</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对个人和家庭的补助</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35.82</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30215</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会议费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31010</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安置补助</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30301</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离休费</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30216</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培训费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31011</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地上附着物和青苗补偿</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30302</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退休费</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30217</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公务接待费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1.69</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31012</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拆迁补偿</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30303</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退职（役）费</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30218</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专用材料费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31013</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公务用车购置</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30304</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抚恤金</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30224</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被装购置费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31019</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其他交通工具购置</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30305</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生活补助</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30.61</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30225</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专用燃料费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31021</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文物和陈列品购置</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30306</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救济费</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30226</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劳务费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1.15</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31022</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无形资产购置</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3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30307</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医疗费补助</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30227</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委托业务费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31099</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其他资本性支出</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30308</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助学金</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30228</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工会经费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27.10</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312</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对企业补助</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30309</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奖励金</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0.10</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30229</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福利费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31201</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资本金注入</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30310</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个人农业生产补贴</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1.00</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30231</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公务用车运行维护费</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9.70</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31203</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政府投资基金股权投资</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30311</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代缴社会保险费</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30239</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其他交通费用</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0.50</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31204</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费用补贴</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30399</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其他对个人和家庭的补助</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4.11</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30240</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税金及附加费用</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31205</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利息补贴</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27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30299</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其他商品和服务支出</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9.78</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31299 </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其他对企业补助</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399</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其他支出</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39906</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赠与</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39907</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国家赔偿费用支出</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39908</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对民间非营利组织和群众性自治组织补贴</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8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304"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39999</w:t>
            </w:r>
          </w:p>
        </w:tc>
        <w:tc>
          <w:tcPr>
            <w:tcW w:w="233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其他支出</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2335" w:type="dxa"/>
            <w:gridSpan w:val="2"/>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人员经费合计</w:t>
            </w:r>
          </w:p>
        </w:tc>
        <w:tc>
          <w:tcPr>
            <w:tcW w:w="6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2,890.11</w:t>
            </w:r>
          </w:p>
        </w:tc>
        <w:tc>
          <w:tcPr>
            <w:tcW w:w="5160" w:type="dxa"/>
            <w:gridSpan w:val="5"/>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公用经费合计</w:t>
            </w:r>
          </w:p>
        </w:tc>
        <w:tc>
          <w:tcPr>
            <w:tcW w:w="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375.77</w:t>
            </w:r>
          </w:p>
        </w:tc>
      </w:tr>
      <w:tr>
        <w:tblPrEx>
          <w:tblLayout w:type="fixed"/>
          <w:tblCellMar>
            <w:top w:w="0" w:type="dxa"/>
            <w:left w:w="108" w:type="dxa"/>
            <w:bottom w:w="0" w:type="dxa"/>
            <w:right w:w="108" w:type="dxa"/>
          </w:tblCellMar>
        </w:tblPrEx>
        <w:trPr>
          <w:trHeight w:val="308" w:hRule="atLeast"/>
        </w:trPr>
        <w:tc>
          <w:tcPr>
            <w:tcW w:w="8910" w:type="dxa"/>
            <w:gridSpan w:val="9"/>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注：本表反映部门本年度一般公共预算财政拨款基本支出明细情况。</w:t>
            </w:r>
          </w:p>
        </w:tc>
      </w:tr>
    </w:tbl>
    <w:p>
      <w:pPr>
        <w:ind w:firstLine="628" w:firstLineChars="200"/>
        <w:rPr>
          <w:rFonts w:ascii="黑体" w:hAnsi="黑体" w:eastAsia="黑体"/>
          <w:szCs w:val="32"/>
        </w:rPr>
      </w:pPr>
    </w:p>
    <w:tbl>
      <w:tblPr>
        <w:tblStyle w:val="6"/>
        <w:tblW w:w="8910" w:type="dxa"/>
        <w:tblInd w:w="93" w:type="dxa"/>
        <w:tblLayout w:type="fixed"/>
        <w:tblCellMar>
          <w:top w:w="0" w:type="dxa"/>
          <w:left w:w="108" w:type="dxa"/>
          <w:bottom w:w="0" w:type="dxa"/>
          <w:right w:w="108" w:type="dxa"/>
        </w:tblCellMar>
      </w:tblPr>
      <w:tblGrid>
        <w:gridCol w:w="608"/>
        <w:gridCol w:w="607"/>
        <w:gridCol w:w="608"/>
        <w:gridCol w:w="1044"/>
        <w:gridCol w:w="406"/>
        <w:gridCol w:w="406"/>
        <w:gridCol w:w="406"/>
        <w:gridCol w:w="406"/>
        <w:gridCol w:w="406"/>
        <w:gridCol w:w="406"/>
        <w:gridCol w:w="406"/>
        <w:gridCol w:w="406"/>
        <w:gridCol w:w="406"/>
        <w:gridCol w:w="406"/>
        <w:gridCol w:w="406"/>
        <w:gridCol w:w="406"/>
        <w:gridCol w:w="1171"/>
      </w:tblGrid>
      <w:tr>
        <w:tblPrEx>
          <w:tblLayout w:type="fixed"/>
          <w:tblCellMar>
            <w:top w:w="0" w:type="dxa"/>
            <w:left w:w="108" w:type="dxa"/>
            <w:bottom w:w="0" w:type="dxa"/>
            <w:right w:w="108" w:type="dxa"/>
          </w:tblCellMar>
        </w:tblPrEx>
        <w:trPr>
          <w:trHeight w:val="390" w:hRule="atLeast"/>
        </w:trPr>
        <w:tc>
          <w:tcPr>
            <w:tcW w:w="8910" w:type="dxa"/>
            <w:gridSpan w:val="1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6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6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6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171"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公开07表</w:t>
            </w:r>
          </w:p>
        </w:tc>
      </w:tr>
      <w:tr>
        <w:tblPrEx>
          <w:tblLayout w:type="fixed"/>
          <w:tblCellMar>
            <w:top w:w="0" w:type="dxa"/>
            <w:left w:w="108" w:type="dxa"/>
            <w:bottom w:w="0" w:type="dxa"/>
            <w:right w:w="108" w:type="dxa"/>
          </w:tblCellMar>
        </w:tblPrEx>
        <w:trPr>
          <w:trHeight w:val="255" w:hRule="atLeast"/>
        </w:trPr>
        <w:tc>
          <w:tcPr>
            <w:tcW w:w="2867" w:type="dxa"/>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单位：黄山市广播电视台（本级）</w:t>
            </w:r>
          </w:p>
        </w:tc>
        <w:tc>
          <w:tcPr>
            <w:tcW w:w="40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40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1171" w:type="dxa"/>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1823"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1044"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218" w:type="dxa"/>
            <w:gridSpan w:val="3"/>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年初结转和结余</w:t>
            </w:r>
          </w:p>
        </w:tc>
        <w:tc>
          <w:tcPr>
            <w:tcW w:w="1218" w:type="dxa"/>
            <w:gridSpan w:val="3"/>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w:t>
            </w:r>
          </w:p>
        </w:tc>
        <w:tc>
          <w:tcPr>
            <w:tcW w:w="1218" w:type="dxa"/>
            <w:gridSpan w:val="3"/>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c>
          <w:tcPr>
            <w:tcW w:w="2389" w:type="dxa"/>
            <w:gridSpan w:val="4"/>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08" w:hRule="atLeast"/>
        </w:trPr>
        <w:tc>
          <w:tcPr>
            <w:tcW w:w="1823"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1044"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406"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06"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406"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c>
          <w:tcPr>
            <w:tcW w:w="406"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06"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406"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06"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06"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406"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06"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06"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1577" w:type="dxa"/>
            <w:gridSpan w:val="2"/>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r>
      <w:tr>
        <w:tblPrEx>
          <w:tblLayout w:type="fixed"/>
          <w:tblCellMar>
            <w:top w:w="0" w:type="dxa"/>
            <w:left w:w="108" w:type="dxa"/>
            <w:bottom w:w="0" w:type="dxa"/>
            <w:right w:w="108" w:type="dxa"/>
          </w:tblCellMar>
        </w:tblPrEx>
        <w:trPr>
          <w:trHeight w:val="569" w:hRule="atLeast"/>
        </w:trPr>
        <w:tc>
          <w:tcPr>
            <w:tcW w:w="1823"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1044"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w:t>
            </w:r>
          </w:p>
        </w:tc>
        <w:tc>
          <w:tcPr>
            <w:tcW w:w="1171"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项目支出结余</w:t>
            </w:r>
          </w:p>
        </w:tc>
      </w:tr>
      <w:tr>
        <w:tblPrEx>
          <w:tblLayout w:type="fixed"/>
          <w:tblCellMar>
            <w:top w:w="0" w:type="dxa"/>
            <w:left w:w="108" w:type="dxa"/>
            <w:bottom w:w="0" w:type="dxa"/>
            <w:right w:w="108" w:type="dxa"/>
          </w:tblCellMar>
        </w:tblPrEx>
        <w:trPr>
          <w:trHeight w:val="615" w:hRule="atLeast"/>
        </w:trPr>
        <w:tc>
          <w:tcPr>
            <w:tcW w:w="1823"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1044"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06"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1171"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607"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608" w:type="dxa"/>
            <w:vMerge w:val="restart"/>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1044" w:type="dxa"/>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406"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406"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406"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406"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406"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406"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c>
          <w:tcPr>
            <w:tcW w:w="406"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7</w:t>
            </w:r>
          </w:p>
        </w:tc>
        <w:tc>
          <w:tcPr>
            <w:tcW w:w="406"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8</w:t>
            </w:r>
          </w:p>
        </w:tc>
        <w:tc>
          <w:tcPr>
            <w:tcW w:w="406"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9</w:t>
            </w:r>
          </w:p>
        </w:tc>
        <w:tc>
          <w:tcPr>
            <w:tcW w:w="406"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10</w:t>
            </w:r>
          </w:p>
        </w:tc>
        <w:tc>
          <w:tcPr>
            <w:tcW w:w="406"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w:t>
            </w:r>
          </w:p>
        </w:tc>
        <w:tc>
          <w:tcPr>
            <w:tcW w:w="406"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12</w:t>
            </w:r>
          </w:p>
        </w:tc>
        <w:tc>
          <w:tcPr>
            <w:tcW w:w="117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13</w:t>
            </w:r>
          </w:p>
        </w:tc>
      </w:tr>
      <w:tr>
        <w:tblPrEx>
          <w:tblLayout w:type="fixed"/>
          <w:tblCellMar>
            <w:top w:w="0" w:type="dxa"/>
            <w:left w:w="108" w:type="dxa"/>
            <w:bottom w:w="0" w:type="dxa"/>
            <w:right w:w="108" w:type="dxa"/>
          </w:tblCellMar>
        </w:tblPrEx>
        <w:trPr>
          <w:trHeight w:val="30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607"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608" w:type="dxa"/>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22"/>
                <w:szCs w:val="22"/>
              </w:rPr>
            </w:pPr>
          </w:p>
        </w:tc>
        <w:tc>
          <w:tcPr>
            <w:tcW w:w="1044" w:type="dxa"/>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11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1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bl>
    <w:p>
      <w:pPr>
        <w:rPr>
          <w:rFonts w:ascii="宋体" w:hAnsi="宋体" w:eastAsia="宋体" w:cs="Arial"/>
          <w:color w:val="000000"/>
          <w:kern w:val="0"/>
          <w:sz w:val="22"/>
          <w:szCs w:val="22"/>
        </w:rPr>
      </w:pPr>
      <w:r>
        <w:rPr>
          <w:rFonts w:hint="eastAsia" w:ascii="宋体" w:hAnsi="宋体" w:eastAsia="宋体" w:cs="Arial"/>
          <w:kern w:val="0"/>
          <w:sz w:val="22"/>
          <w:szCs w:val="22"/>
        </w:rPr>
        <w:t>说明：黄山市广播电视台本级没有政府性基金预算收入，也没有使用政府性基金预算安排的支出，故本表无</w:t>
      </w:r>
      <w:r>
        <w:rPr>
          <w:rFonts w:hint="eastAsia" w:ascii="宋体" w:hAnsi="宋体" w:eastAsia="宋体" w:cs="Arial"/>
          <w:color w:val="000000"/>
          <w:kern w:val="0"/>
          <w:sz w:val="22"/>
          <w:szCs w:val="22"/>
        </w:rPr>
        <w:t>数据。</w:t>
      </w:r>
    </w:p>
    <w:p>
      <w:pPr>
        <w:ind w:firstLine="428" w:firstLineChars="200"/>
        <w:rPr>
          <w:rFonts w:ascii="宋体" w:hAnsi="宋体" w:eastAsia="宋体" w:cs="Arial"/>
          <w:color w:val="000000"/>
          <w:kern w:val="0"/>
          <w:sz w:val="22"/>
          <w:szCs w:val="22"/>
        </w:rPr>
      </w:pPr>
    </w:p>
    <w:tbl>
      <w:tblPr>
        <w:tblStyle w:val="6"/>
        <w:tblW w:w="9003" w:type="dxa"/>
        <w:tblInd w:w="0" w:type="dxa"/>
        <w:tblLayout w:type="fixed"/>
        <w:tblCellMar>
          <w:top w:w="0" w:type="dxa"/>
          <w:left w:w="108" w:type="dxa"/>
          <w:bottom w:w="0" w:type="dxa"/>
          <w:right w:w="108" w:type="dxa"/>
        </w:tblCellMar>
      </w:tblPr>
      <w:tblGrid>
        <w:gridCol w:w="539"/>
        <w:gridCol w:w="537"/>
        <w:gridCol w:w="538"/>
        <w:gridCol w:w="1955"/>
        <w:gridCol w:w="1010"/>
        <w:gridCol w:w="1955"/>
        <w:gridCol w:w="2469"/>
      </w:tblGrid>
      <w:tr>
        <w:tblPrEx>
          <w:tblLayout w:type="fixed"/>
          <w:tblCellMar>
            <w:top w:w="0" w:type="dxa"/>
            <w:left w:w="108" w:type="dxa"/>
            <w:bottom w:w="0" w:type="dxa"/>
            <w:right w:w="108" w:type="dxa"/>
          </w:tblCellMar>
        </w:tblPrEx>
        <w:trPr>
          <w:trHeight w:val="390" w:hRule="atLeast"/>
        </w:trPr>
        <w:tc>
          <w:tcPr>
            <w:tcW w:w="9003"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国有资本经营预算财政拨款支出决算表</w:t>
            </w:r>
          </w:p>
        </w:tc>
      </w:tr>
      <w:tr>
        <w:tblPrEx>
          <w:tblLayout w:type="fixed"/>
          <w:tblCellMar>
            <w:top w:w="0" w:type="dxa"/>
            <w:left w:w="108" w:type="dxa"/>
            <w:bottom w:w="0" w:type="dxa"/>
            <w:right w:w="108" w:type="dxa"/>
          </w:tblCellMar>
        </w:tblPrEx>
        <w:trPr>
          <w:trHeight w:val="255" w:hRule="atLeast"/>
        </w:trPr>
        <w:tc>
          <w:tcPr>
            <w:tcW w:w="53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3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9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9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46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公开08表</w:t>
            </w:r>
          </w:p>
        </w:tc>
      </w:tr>
      <w:tr>
        <w:tblPrEx>
          <w:tblLayout w:type="fixed"/>
          <w:tblCellMar>
            <w:top w:w="0" w:type="dxa"/>
            <w:left w:w="108" w:type="dxa"/>
            <w:bottom w:w="0" w:type="dxa"/>
            <w:right w:w="108" w:type="dxa"/>
          </w:tblCellMar>
        </w:tblPrEx>
        <w:trPr>
          <w:trHeight w:val="255" w:hRule="atLeast"/>
        </w:trPr>
        <w:tc>
          <w:tcPr>
            <w:tcW w:w="3569" w:type="dxa"/>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单位：黄山市广播电视台（本级）</w:t>
            </w:r>
          </w:p>
        </w:tc>
        <w:tc>
          <w:tcPr>
            <w:tcW w:w="1010"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1955"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rPr>
            </w:pPr>
          </w:p>
        </w:tc>
        <w:tc>
          <w:tcPr>
            <w:tcW w:w="2469" w:type="dxa"/>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537" w:hRule="atLeast"/>
        </w:trPr>
        <w:tc>
          <w:tcPr>
            <w:tcW w:w="161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1955"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5434"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r>
      <w:tr>
        <w:tblPrEx>
          <w:tblLayout w:type="fixed"/>
          <w:tblCellMar>
            <w:top w:w="0" w:type="dxa"/>
            <w:left w:w="108" w:type="dxa"/>
            <w:bottom w:w="0" w:type="dxa"/>
            <w:right w:w="108" w:type="dxa"/>
          </w:tblCellMar>
        </w:tblPrEx>
        <w:trPr>
          <w:trHeight w:val="569" w:hRule="atLeast"/>
        </w:trPr>
        <w:tc>
          <w:tcPr>
            <w:tcW w:w="161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9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010"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955"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2469"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tblPrEx>
          <w:tblLayout w:type="fixed"/>
          <w:tblCellMar>
            <w:top w:w="0" w:type="dxa"/>
            <w:left w:w="108" w:type="dxa"/>
            <w:bottom w:w="0" w:type="dxa"/>
            <w:right w:w="108" w:type="dxa"/>
          </w:tblCellMar>
        </w:tblPrEx>
        <w:trPr>
          <w:trHeight w:val="569" w:hRule="atLeast"/>
        </w:trPr>
        <w:tc>
          <w:tcPr>
            <w:tcW w:w="161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9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010"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955"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246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537"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538"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195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0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95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246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53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53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szCs w:val="22"/>
              </w:rPr>
            </w:pPr>
          </w:p>
        </w:tc>
        <w:tc>
          <w:tcPr>
            <w:tcW w:w="195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0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5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6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61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003"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说明：黄山市广播电视台本级没有国有资本经营预算财政拨款安排的支出，故本表无数据。</w:t>
            </w:r>
          </w:p>
        </w:tc>
      </w:tr>
    </w:tbl>
    <w:p>
      <w:pPr>
        <w:rPr>
          <w:rFonts w:ascii="黑体" w:hAnsi="黑体" w:eastAsia="黑体"/>
          <w:szCs w:val="32"/>
        </w:rPr>
      </w:pPr>
    </w:p>
    <w:p>
      <w:pPr>
        <w:rPr>
          <w:rFonts w:ascii="黑体" w:hAnsi="黑体" w:eastAsia="黑体"/>
          <w:sz w:val="20"/>
        </w:rPr>
      </w:pPr>
    </w:p>
    <w:p>
      <w:pPr>
        <w:ind w:firstLine="628" w:firstLineChars="200"/>
        <w:rPr>
          <w:rFonts w:ascii="黑体" w:hAnsi="黑体" w:eastAsia="黑体"/>
          <w:szCs w:val="32"/>
        </w:rPr>
      </w:pPr>
      <w:r>
        <w:rPr>
          <w:rFonts w:hint="eastAsia" w:ascii="黑体" w:hAnsi="黑体" w:eastAsia="黑体"/>
          <w:szCs w:val="32"/>
        </w:rPr>
        <w:t>第三部分 黄山市广播电视台（本级）2021年度单</w:t>
      </w:r>
      <w:bookmarkStart w:id="0" w:name="_GoBack"/>
      <w:bookmarkEnd w:id="0"/>
      <w:r>
        <w:rPr>
          <w:rFonts w:hint="eastAsia" w:ascii="黑体" w:hAnsi="黑体" w:eastAsia="黑体"/>
          <w:szCs w:val="32"/>
        </w:rPr>
        <w:t>位决算情况说明</w:t>
      </w:r>
    </w:p>
    <w:p>
      <w:pPr>
        <w:ind w:firstLine="628" w:firstLineChars="200"/>
        <w:rPr>
          <w:rFonts w:ascii="黑体" w:hAnsi="黑体" w:eastAsia="黑体"/>
          <w:szCs w:val="32"/>
        </w:rPr>
      </w:pPr>
      <w:r>
        <w:rPr>
          <w:rFonts w:hint="eastAsia" w:ascii="黑体" w:hAnsi="黑体" w:eastAsia="黑体"/>
          <w:szCs w:val="32"/>
        </w:rPr>
        <w:t>一、收入支出决算总体情况说明</w:t>
      </w:r>
    </w:p>
    <w:p>
      <w:pPr>
        <w:ind w:firstLine="628" w:firstLineChars="200"/>
        <w:rPr>
          <w:rFonts w:ascii="仿宋_GB2312" w:hAnsi="仿宋"/>
          <w:szCs w:val="32"/>
        </w:rPr>
      </w:pPr>
      <w:r>
        <w:rPr>
          <w:rFonts w:hint="eastAsia" w:ascii="仿宋_GB2312" w:hAnsi="仿宋"/>
          <w:szCs w:val="32"/>
        </w:rPr>
        <w:t>2021年度收入总计3744.14万元（含使用非财政拨款结转结余、年初结转和结余）、支出总计3744.14万元（含结余分配、年末结转和结余）。与2020年相比，收、支总计各增加869.32万元，增长30.2%。主要原因：</w:t>
      </w:r>
      <w:r>
        <w:rPr>
          <w:rFonts w:hint="eastAsia"/>
          <w:szCs w:val="32"/>
        </w:rPr>
        <w:t>一是我台2021年度加大对区县的宣传力度，造成成本增加</w:t>
      </w:r>
      <w:r>
        <w:rPr>
          <w:rFonts w:hint="eastAsia" w:ascii="仿宋_GB2312" w:hAnsi="仿宋"/>
          <w:szCs w:val="32"/>
        </w:rPr>
        <w:t>；</w:t>
      </w:r>
      <w:r>
        <w:rPr>
          <w:rFonts w:hint="eastAsia"/>
          <w:szCs w:val="32"/>
        </w:rPr>
        <w:t>二是因办公大楼设施老化，维修费用增加</w:t>
      </w:r>
      <w:r>
        <w:rPr>
          <w:rFonts w:hint="eastAsia" w:ascii="仿宋_GB2312" w:hAnsi="仿宋"/>
          <w:szCs w:val="32"/>
        </w:rPr>
        <w:t>；</w:t>
      </w:r>
      <w:r>
        <w:rPr>
          <w:rFonts w:hint="eastAsia"/>
          <w:szCs w:val="32"/>
        </w:rPr>
        <w:t>三是目标考核奖发放数额的增加。</w:t>
      </w:r>
    </w:p>
    <w:p>
      <w:pPr>
        <w:ind w:firstLine="628" w:firstLineChars="200"/>
        <w:rPr>
          <w:rFonts w:ascii="黑体" w:hAnsi="仿宋" w:eastAsia="黑体"/>
          <w:szCs w:val="32"/>
        </w:rPr>
      </w:pPr>
      <w:r>
        <w:rPr>
          <w:rFonts w:hint="eastAsia" w:ascii="黑体" w:hAnsi="仿宋" w:eastAsia="黑体"/>
          <w:szCs w:val="32"/>
        </w:rPr>
        <w:t>二、收入决算情况说明</w:t>
      </w:r>
    </w:p>
    <w:p>
      <w:pPr>
        <w:ind w:firstLine="628" w:firstLineChars="200"/>
        <w:rPr>
          <w:rFonts w:ascii="仿宋_GB2312" w:hAnsi="仿宋"/>
          <w:szCs w:val="32"/>
        </w:rPr>
      </w:pPr>
      <w:r>
        <w:rPr>
          <w:rFonts w:hint="eastAsia" w:ascii="仿宋_GB2312" w:hAnsi="仿宋"/>
          <w:szCs w:val="32"/>
        </w:rPr>
        <w:t>2021年度收入合计3744.14万元，其中：财政拨款收入3637.92万元，占97.2%；事业收入0万元，占0%；经营收入0万元，占0%；其他收入106.22万元，占2.8%。</w:t>
      </w:r>
    </w:p>
    <w:p>
      <w:pPr>
        <w:ind w:firstLine="628" w:firstLineChars="200"/>
        <w:rPr>
          <w:rFonts w:ascii="黑体" w:hAnsi="仿宋" w:eastAsia="黑体"/>
          <w:szCs w:val="32"/>
        </w:rPr>
      </w:pPr>
      <w:r>
        <w:rPr>
          <w:rFonts w:hint="eastAsia" w:ascii="黑体" w:hAnsi="仿宋" w:eastAsia="黑体"/>
          <w:szCs w:val="32"/>
        </w:rPr>
        <w:t>三、支出决算情况说明</w:t>
      </w:r>
    </w:p>
    <w:p>
      <w:pPr>
        <w:ind w:firstLine="628" w:firstLineChars="200"/>
        <w:rPr>
          <w:rFonts w:ascii="仿宋_GB2312" w:hAnsi="仿宋"/>
          <w:szCs w:val="32"/>
          <w:highlight w:val="yellow"/>
        </w:rPr>
      </w:pPr>
      <w:r>
        <w:rPr>
          <w:rFonts w:hint="eastAsia" w:ascii="仿宋_GB2312" w:hAnsi="仿宋"/>
          <w:szCs w:val="32"/>
        </w:rPr>
        <w:t>2021年度支出合计3372.1万元，其中：基本支出3265.88万元，占96.9%；项目支出106.22万元，占3.1%；经营支出0万元，占0%。</w:t>
      </w:r>
    </w:p>
    <w:p>
      <w:pPr>
        <w:ind w:firstLine="628" w:firstLineChars="200"/>
        <w:rPr>
          <w:rFonts w:ascii="黑体" w:hAnsi="黑体" w:eastAsia="黑体" w:cs="黑体"/>
          <w:bCs/>
          <w:szCs w:val="32"/>
        </w:rPr>
      </w:pPr>
      <w:r>
        <w:rPr>
          <w:rFonts w:hint="eastAsia" w:ascii="黑体" w:hAnsi="黑体" w:eastAsia="黑体" w:cs="黑体"/>
          <w:bCs/>
          <w:szCs w:val="32"/>
        </w:rPr>
        <w:t>四、财政拨款收入支出决算总体情况说明</w:t>
      </w:r>
    </w:p>
    <w:p>
      <w:pPr>
        <w:ind w:firstLine="628" w:firstLineChars="200"/>
        <w:rPr>
          <w:rFonts w:ascii="仿宋_GB2312" w:hAnsi="仿宋"/>
          <w:szCs w:val="32"/>
        </w:rPr>
      </w:pPr>
      <w:r>
        <w:rPr>
          <w:rFonts w:hint="eastAsia" w:ascii="仿宋_GB2312" w:hAnsi="仿宋_GB2312" w:cs="仿宋_GB2312"/>
          <w:bCs/>
          <w:szCs w:val="32"/>
        </w:rPr>
        <w:t>2021年度财政拨款收入</w:t>
      </w:r>
      <w:r>
        <w:rPr>
          <w:rFonts w:hint="eastAsia" w:ascii="仿宋_GB2312" w:hAnsi="仿宋"/>
          <w:szCs w:val="32"/>
        </w:rPr>
        <w:t>总计3637.92万元（含年初财政拨款结转和结余），支出总计3637.92万元（含年末财政拨款结转和结余）。与2020年相比，财政拨款收、支总计各增加973.88万元，增长36.6%，主要原因：</w:t>
      </w:r>
      <w:r>
        <w:rPr>
          <w:rFonts w:hint="eastAsia"/>
          <w:szCs w:val="32"/>
        </w:rPr>
        <w:t>一是我台2021年度加大对区县的宣传力度，造成成本增加</w:t>
      </w:r>
      <w:r>
        <w:rPr>
          <w:rFonts w:hint="eastAsia" w:ascii="仿宋_GB2312" w:hAnsi="仿宋"/>
          <w:szCs w:val="32"/>
        </w:rPr>
        <w:t>；</w:t>
      </w:r>
      <w:r>
        <w:rPr>
          <w:rFonts w:hint="eastAsia"/>
          <w:szCs w:val="32"/>
        </w:rPr>
        <w:t>二是因办公大楼设施老化，维修费用增加</w:t>
      </w:r>
      <w:r>
        <w:rPr>
          <w:rFonts w:hint="eastAsia" w:ascii="仿宋_GB2312" w:hAnsi="仿宋"/>
          <w:szCs w:val="32"/>
        </w:rPr>
        <w:t>；</w:t>
      </w:r>
      <w:r>
        <w:rPr>
          <w:rFonts w:hint="eastAsia"/>
          <w:szCs w:val="32"/>
        </w:rPr>
        <w:t>三是目标考核奖发放数额的增加。</w:t>
      </w:r>
    </w:p>
    <w:p>
      <w:pPr>
        <w:ind w:firstLine="628" w:firstLineChars="200"/>
        <w:rPr>
          <w:rFonts w:ascii="黑体" w:hAnsi="仿宋" w:eastAsia="黑体"/>
          <w:szCs w:val="32"/>
        </w:rPr>
      </w:pPr>
      <w:r>
        <w:rPr>
          <w:rFonts w:hint="eastAsia" w:ascii="黑体" w:hAnsi="仿宋" w:eastAsia="黑体"/>
          <w:szCs w:val="32"/>
        </w:rPr>
        <w:t>五、一般公共预算财政拨款支出决算情况说明</w:t>
      </w:r>
    </w:p>
    <w:p>
      <w:pPr>
        <w:ind w:firstLine="628" w:firstLineChars="200"/>
        <w:rPr>
          <w:rFonts w:ascii="仿宋_GB2312" w:hAnsi="仿宋"/>
          <w:b/>
          <w:bCs/>
          <w:szCs w:val="32"/>
        </w:rPr>
      </w:pPr>
      <w:r>
        <w:rPr>
          <w:rFonts w:hint="eastAsia" w:ascii="仿宋_GB2312" w:hAnsi="仿宋"/>
          <w:b/>
          <w:bCs/>
          <w:szCs w:val="32"/>
        </w:rPr>
        <w:t>（一）一般公共预算财政拨款支出决算总体情况。</w:t>
      </w:r>
    </w:p>
    <w:p>
      <w:pPr>
        <w:ind w:firstLine="628" w:firstLineChars="200"/>
        <w:rPr>
          <w:rFonts w:ascii="仿宋_GB2312" w:hAnsi="仿宋"/>
          <w:szCs w:val="32"/>
        </w:rPr>
      </w:pPr>
      <w:r>
        <w:rPr>
          <w:rFonts w:hint="eastAsia" w:ascii="仿宋_GB2312" w:hAnsi="仿宋"/>
          <w:szCs w:val="32"/>
        </w:rPr>
        <w:t>2021年度一般公共预算财政拨款支出3265.88万元，占本年支出的96.9%。与2020年相比，一般公共预算财政拨款支出增加779.01万元，增长31.3%。主要原因</w:t>
      </w:r>
      <w:r>
        <w:rPr>
          <w:rFonts w:hint="eastAsia"/>
          <w:szCs w:val="32"/>
        </w:rPr>
        <w:t>一是我台2021年度加大对区县的宣传力度，造成成本增加</w:t>
      </w:r>
      <w:r>
        <w:rPr>
          <w:rFonts w:hint="eastAsia" w:ascii="仿宋_GB2312" w:hAnsi="仿宋"/>
          <w:szCs w:val="32"/>
        </w:rPr>
        <w:t>；</w:t>
      </w:r>
      <w:r>
        <w:rPr>
          <w:rFonts w:hint="eastAsia"/>
          <w:szCs w:val="32"/>
        </w:rPr>
        <w:t>二是因办公大楼设施老化，维修费用增加</w:t>
      </w:r>
      <w:r>
        <w:rPr>
          <w:rFonts w:hint="eastAsia" w:ascii="仿宋_GB2312" w:hAnsi="仿宋"/>
          <w:szCs w:val="32"/>
        </w:rPr>
        <w:t>；</w:t>
      </w:r>
      <w:r>
        <w:rPr>
          <w:rFonts w:hint="eastAsia"/>
          <w:szCs w:val="32"/>
        </w:rPr>
        <w:t>三是目标考核奖发放数额的增加。</w:t>
      </w:r>
    </w:p>
    <w:p>
      <w:pPr>
        <w:ind w:firstLine="628" w:firstLineChars="200"/>
        <w:rPr>
          <w:rFonts w:ascii="仿宋_GB2312" w:hAnsi="仿宋"/>
          <w:b/>
          <w:szCs w:val="32"/>
        </w:rPr>
      </w:pPr>
      <w:r>
        <w:rPr>
          <w:rFonts w:hint="eastAsia" w:ascii="仿宋_GB2312" w:hAnsi="仿宋"/>
          <w:b/>
          <w:szCs w:val="32"/>
        </w:rPr>
        <w:t>（二）一般公共预算财政拨款支出决算结构情况。</w:t>
      </w:r>
    </w:p>
    <w:p>
      <w:pPr>
        <w:ind w:firstLine="628" w:firstLineChars="200"/>
        <w:rPr>
          <w:rFonts w:ascii="仿宋_GB2312" w:hAnsi="仿宋"/>
          <w:szCs w:val="32"/>
        </w:rPr>
      </w:pPr>
      <w:r>
        <w:rPr>
          <w:rFonts w:hint="eastAsia" w:ascii="仿宋_GB2312" w:hAnsi="仿宋"/>
          <w:szCs w:val="32"/>
        </w:rPr>
        <w:t>2021年度一般公共预算财政拨款支出3265.88万元，主要用于以下方面：</w:t>
      </w:r>
      <w:r>
        <w:rPr>
          <w:rFonts w:hint="eastAsia" w:ascii="仿宋_GB2312" w:hAnsi="仿宋"/>
          <w:b/>
          <w:szCs w:val="32"/>
        </w:rPr>
        <w:t>一般公共服务（类）</w:t>
      </w:r>
      <w:r>
        <w:rPr>
          <w:rFonts w:hint="eastAsia" w:ascii="仿宋_GB2312" w:hAnsi="仿宋"/>
          <w:szCs w:val="32"/>
        </w:rPr>
        <w:t>支出1.8万元，占0.06%;</w:t>
      </w:r>
      <w:r>
        <w:rPr>
          <w:rFonts w:hint="eastAsia" w:ascii="仿宋_GB2312" w:hAnsi="仿宋"/>
          <w:b/>
          <w:szCs w:val="32"/>
        </w:rPr>
        <w:t>教育（类）</w:t>
      </w:r>
      <w:r>
        <w:rPr>
          <w:rFonts w:hint="eastAsia" w:ascii="仿宋_GB2312" w:hAnsi="仿宋"/>
          <w:szCs w:val="32"/>
        </w:rPr>
        <w:t>支出0.5万元，占0.02%；</w:t>
      </w:r>
      <w:r>
        <w:rPr>
          <w:rFonts w:hint="eastAsia" w:ascii="仿宋_GB2312" w:hAnsi="仿宋"/>
          <w:b/>
          <w:szCs w:val="32"/>
        </w:rPr>
        <w:t>文化旅游体育与传媒（类）</w:t>
      </w:r>
      <w:r>
        <w:rPr>
          <w:rFonts w:hint="eastAsia" w:ascii="仿宋_GB2312" w:hAnsi="仿宋"/>
          <w:szCs w:val="32"/>
        </w:rPr>
        <w:t>支出2820.65万元，占86.37%；</w:t>
      </w:r>
      <w:r>
        <w:rPr>
          <w:rFonts w:hint="eastAsia" w:ascii="仿宋_GB2312" w:hAnsi="仿宋"/>
          <w:b/>
          <w:szCs w:val="32"/>
        </w:rPr>
        <w:t>社会保障和就业（类）</w:t>
      </w:r>
      <w:r>
        <w:rPr>
          <w:rFonts w:hint="eastAsia" w:ascii="仿宋_GB2312" w:hAnsi="仿宋"/>
          <w:szCs w:val="32"/>
        </w:rPr>
        <w:t>支出225.76万元，占6.91%；</w:t>
      </w:r>
      <w:r>
        <w:rPr>
          <w:rFonts w:hint="eastAsia" w:ascii="仿宋_GB2312" w:hAnsi="仿宋"/>
          <w:b/>
          <w:szCs w:val="32"/>
        </w:rPr>
        <w:t>卫生健康（类）</w:t>
      </w:r>
      <w:r>
        <w:rPr>
          <w:rFonts w:hint="eastAsia" w:ascii="仿宋_GB2312" w:hAnsi="仿宋"/>
          <w:szCs w:val="32"/>
        </w:rPr>
        <w:t>支出65.95万元，占2.02%；</w:t>
      </w:r>
      <w:r>
        <w:rPr>
          <w:rFonts w:hint="eastAsia" w:ascii="仿宋_GB2312" w:hAnsi="仿宋"/>
          <w:b/>
          <w:szCs w:val="32"/>
        </w:rPr>
        <w:t>农林水（类）</w:t>
      </w:r>
      <w:r>
        <w:rPr>
          <w:rFonts w:hint="eastAsia" w:ascii="仿宋_GB2312" w:hAnsi="仿宋"/>
          <w:szCs w:val="32"/>
        </w:rPr>
        <w:t>支出1万元，占0.03%；</w:t>
      </w:r>
      <w:r>
        <w:rPr>
          <w:rFonts w:hint="eastAsia" w:ascii="仿宋_GB2312" w:hAnsi="仿宋"/>
          <w:b/>
          <w:szCs w:val="32"/>
        </w:rPr>
        <w:t>住房保障（类）</w:t>
      </w:r>
      <w:r>
        <w:rPr>
          <w:rFonts w:hint="eastAsia" w:ascii="仿宋_GB2312" w:hAnsi="仿宋"/>
          <w:szCs w:val="32"/>
        </w:rPr>
        <w:t>支出150.22万元，占4.60%。</w:t>
      </w:r>
    </w:p>
    <w:p>
      <w:pPr>
        <w:ind w:firstLine="628" w:firstLineChars="200"/>
        <w:rPr>
          <w:rFonts w:ascii="仿宋_GB2312" w:hAnsi="仿宋"/>
          <w:b/>
          <w:bCs/>
          <w:szCs w:val="32"/>
        </w:rPr>
      </w:pPr>
      <w:r>
        <w:rPr>
          <w:rFonts w:hint="eastAsia" w:ascii="仿宋_GB2312" w:hAnsi="仿宋"/>
          <w:b/>
          <w:bCs/>
          <w:szCs w:val="32"/>
        </w:rPr>
        <w:t>（三）一般公共预算财政拨款支出决算具体情况。</w:t>
      </w:r>
    </w:p>
    <w:p>
      <w:pPr>
        <w:ind w:firstLine="628" w:firstLineChars="200"/>
        <w:rPr>
          <w:rFonts w:ascii="仿宋_GB2312" w:hAnsi="仿宋"/>
          <w:szCs w:val="32"/>
        </w:rPr>
      </w:pPr>
      <w:r>
        <w:rPr>
          <w:rFonts w:hint="eastAsia" w:ascii="仿宋_GB2312" w:hAnsi="仿宋"/>
          <w:szCs w:val="32"/>
        </w:rPr>
        <w:t>2021年度一般公共预算财政拨款支出年初预算为2415.82万元，支出决算为3265.88万元，完成年初预算的135.2%。决算数大于预算数的主要原因:</w:t>
      </w:r>
      <w:r>
        <w:rPr>
          <w:rFonts w:hint="eastAsia"/>
          <w:szCs w:val="32"/>
        </w:rPr>
        <w:t>一是我台2021年度加大对区县的宣传力度，造成成本增加</w:t>
      </w:r>
      <w:r>
        <w:rPr>
          <w:rFonts w:hint="eastAsia" w:ascii="仿宋_GB2312" w:hAnsi="仿宋"/>
          <w:szCs w:val="32"/>
        </w:rPr>
        <w:t>；</w:t>
      </w:r>
      <w:r>
        <w:rPr>
          <w:rFonts w:hint="eastAsia"/>
          <w:szCs w:val="32"/>
        </w:rPr>
        <w:t>二是因办公大楼设施老化，维修费用增加</w:t>
      </w:r>
      <w:r>
        <w:rPr>
          <w:rFonts w:hint="eastAsia" w:ascii="仿宋_GB2312" w:hAnsi="仿宋"/>
          <w:szCs w:val="32"/>
        </w:rPr>
        <w:t>；</w:t>
      </w:r>
      <w:r>
        <w:rPr>
          <w:rFonts w:hint="eastAsia"/>
          <w:szCs w:val="32"/>
        </w:rPr>
        <w:t>三是目标考核奖发放数额的增加</w:t>
      </w:r>
      <w:r>
        <w:rPr>
          <w:rFonts w:hint="eastAsia" w:ascii="仿宋_GB2312" w:hAnsi="仿宋"/>
          <w:szCs w:val="32"/>
        </w:rPr>
        <w:t>。其中:基本支出3265.88万元，占100.0%；项目支出0万元，占0%。具体情况如下：</w:t>
      </w:r>
    </w:p>
    <w:p>
      <w:pPr>
        <w:ind w:firstLine="628" w:firstLineChars="200"/>
        <w:rPr>
          <w:rFonts w:ascii="仿宋_GB2312" w:hAnsi="仿宋"/>
          <w:szCs w:val="32"/>
        </w:rPr>
      </w:pPr>
      <w:r>
        <w:rPr>
          <w:rFonts w:hint="eastAsia" w:ascii="仿宋_GB2312" w:hAnsi="仿宋"/>
          <w:szCs w:val="32"/>
        </w:rPr>
        <w:t>1.</w:t>
      </w:r>
      <w:r>
        <w:rPr>
          <w:rFonts w:hint="eastAsia" w:ascii="仿宋_GB2312" w:hAnsi="仿宋"/>
          <w:b/>
          <w:szCs w:val="32"/>
        </w:rPr>
        <w:t>一般公共服务（类）其他共产党事务支出（款）其他共产党事务支出（项）</w:t>
      </w:r>
      <w:r>
        <w:rPr>
          <w:rFonts w:hint="eastAsia" w:ascii="仿宋_GB2312" w:hAnsi="仿宋"/>
          <w:szCs w:val="32"/>
        </w:rPr>
        <w:t>。年初预算为3.8万元，支出决算为1.8万元，完成年初预算的47.4%，决算数大于预算数的主要原因是一是节约开支。二是部分支出在一般行政管理支出里。</w:t>
      </w:r>
    </w:p>
    <w:p>
      <w:pPr>
        <w:ind w:firstLine="628" w:firstLineChars="200"/>
        <w:rPr>
          <w:rFonts w:ascii="仿宋_GB2312" w:hAnsi="仿宋"/>
          <w:szCs w:val="32"/>
        </w:rPr>
      </w:pPr>
      <w:r>
        <w:rPr>
          <w:rFonts w:hint="eastAsia" w:ascii="仿宋_GB2312" w:hAnsi="仿宋"/>
          <w:szCs w:val="32"/>
        </w:rPr>
        <w:t>2.</w:t>
      </w:r>
      <w:r>
        <w:rPr>
          <w:rFonts w:hint="eastAsia"/>
        </w:rPr>
        <w:t xml:space="preserve"> </w:t>
      </w:r>
      <w:r>
        <w:rPr>
          <w:rFonts w:hint="eastAsia" w:ascii="仿宋_GB2312" w:hAnsi="仿宋"/>
          <w:b/>
          <w:szCs w:val="32"/>
        </w:rPr>
        <w:t>教育（类）进修及培训（款）干部教育（项）</w:t>
      </w:r>
      <w:r>
        <w:rPr>
          <w:rFonts w:hint="eastAsia" w:ascii="仿宋_GB2312" w:hAnsi="仿宋"/>
          <w:szCs w:val="32"/>
        </w:rPr>
        <w:t>。年初预算为0万元，支出决算为0.5万元，决算数大于预算数的主要原因是我单位参加了省委党校组织的习近平新时代中国特色社会主义思想理论研修班专项培训。</w:t>
      </w:r>
    </w:p>
    <w:p>
      <w:pPr>
        <w:ind w:firstLine="628" w:firstLineChars="200"/>
        <w:rPr>
          <w:rFonts w:ascii="仿宋_GB2312" w:hAnsi="仿宋"/>
          <w:szCs w:val="32"/>
        </w:rPr>
      </w:pPr>
      <w:r>
        <w:rPr>
          <w:rFonts w:hint="eastAsia" w:ascii="仿宋_GB2312" w:hAnsi="仿宋"/>
          <w:szCs w:val="32"/>
        </w:rPr>
        <w:t>3.</w:t>
      </w:r>
      <w:r>
        <w:rPr>
          <w:rFonts w:hint="eastAsia" w:ascii="仿宋_GB2312" w:hAnsi="仿宋"/>
          <w:b/>
          <w:szCs w:val="32"/>
        </w:rPr>
        <w:t>文化旅游体育与传媒（类）文化和旅游（款）文化创作与保护（项）</w:t>
      </w:r>
      <w:r>
        <w:rPr>
          <w:rFonts w:hint="eastAsia" w:ascii="仿宋_GB2312" w:hAnsi="仿宋"/>
          <w:b/>
          <w:color w:val="000000"/>
          <w:szCs w:val="32"/>
        </w:rPr>
        <w:t>。</w:t>
      </w:r>
      <w:r>
        <w:rPr>
          <w:rFonts w:hint="eastAsia" w:ascii="仿宋_GB2312" w:hAnsi="仿宋"/>
          <w:szCs w:val="32"/>
        </w:rPr>
        <w:t>年初预算为0万元，支出决算为20万元，决算数大于预算数的主要原因是加大宣传徽州古建筑保护力度。</w:t>
      </w:r>
    </w:p>
    <w:p>
      <w:pPr>
        <w:ind w:firstLine="628" w:firstLineChars="200"/>
        <w:rPr>
          <w:rFonts w:ascii="仿宋_GB2312" w:hAnsi="仿宋"/>
          <w:szCs w:val="32"/>
        </w:rPr>
      </w:pPr>
      <w:r>
        <w:rPr>
          <w:rFonts w:hint="eastAsia" w:ascii="仿宋_GB2312" w:hAnsi="仿宋"/>
          <w:szCs w:val="32"/>
        </w:rPr>
        <w:t>4.</w:t>
      </w:r>
      <w:r>
        <w:rPr>
          <w:rFonts w:hint="eastAsia" w:ascii="仿宋_GB2312" w:hAnsi="仿宋"/>
          <w:b/>
          <w:szCs w:val="32"/>
        </w:rPr>
        <w:t>文化旅游体育与传媒（类）文化和旅游（款）旅游宣传（项）</w:t>
      </w:r>
      <w:r>
        <w:rPr>
          <w:rFonts w:hint="eastAsia" w:ascii="仿宋_GB2312" w:hAnsi="仿宋"/>
          <w:b/>
          <w:color w:val="000000"/>
          <w:szCs w:val="32"/>
        </w:rPr>
        <w:t>。</w:t>
      </w:r>
      <w:r>
        <w:rPr>
          <w:rFonts w:hint="eastAsia" w:ascii="仿宋_GB2312" w:hAnsi="仿宋"/>
          <w:szCs w:val="32"/>
        </w:rPr>
        <w:t>年初预算为0万元，支出决算为90万元，决算数大于预算数的主要原因是加大黄山旅游之城等五个之城的宣传力度。</w:t>
      </w:r>
    </w:p>
    <w:p>
      <w:pPr>
        <w:ind w:firstLine="628" w:firstLineChars="200"/>
        <w:rPr>
          <w:rFonts w:ascii="仿宋_GB2312" w:hAnsi="仿宋"/>
          <w:szCs w:val="32"/>
        </w:rPr>
      </w:pPr>
      <w:r>
        <w:rPr>
          <w:rFonts w:hint="eastAsia" w:ascii="仿宋_GB2312" w:hAnsi="仿宋"/>
          <w:szCs w:val="32"/>
        </w:rPr>
        <w:t>5.</w:t>
      </w:r>
      <w:r>
        <w:rPr>
          <w:rFonts w:hint="eastAsia" w:ascii="仿宋_GB2312" w:hAnsi="仿宋"/>
          <w:b/>
          <w:szCs w:val="32"/>
        </w:rPr>
        <w:t>文化旅游体育与传媒（类）广播电视（款）传输发射（项）</w:t>
      </w:r>
      <w:r>
        <w:rPr>
          <w:rFonts w:hint="eastAsia" w:ascii="仿宋_GB2312" w:hAnsi="仿宋"/>
          <w:b/>
          <w:color w:val="000000"/>
          <w:szCs w:val="32"/>
        </w:rPr>
        <w:t>。</w:t>
      </w:r>
      <w:r>
        <w:rPr>
          <w:rFonts w:hint="eastAsia" w:ascii="仿宋_GB2312" w:hAnsi="仿宋"/>
          <w:szCs w:val="32"/>
        </w:rPr>
        <w:t>年初预算为0万元，支出决算为100万元，决算数大于预算数的</w:t>
      </w:r>
      <w:r>
        <w:rPr>
          <w:rFonts w:hint="eastAsia"/>
          <w:szCs w:val="32"/>
        </w:rPr>
        <w:t>主要原因是加大了广电台广播电视制播覆盖提升工程的全市传输发射覆盖工作</w:t>
      </w:r>
      <w:r>
        <w:rPr>
          <w:rFonts w:hint="eastAsia" w:ascii="仿宋_GB2312" w:hAnsi="仿宋"/>
          <w:szCs w:val="32"/>
        </w:rPr>
        <w:t>。</w:t>
      </w:r>
    </w:p>
    <w:p>
      <w:pPr>
        <w:ind w:firstLine="628" w:firstLineChars="200"/>
        <w:rPr>
          <w:rFonts w:ascii="仿宋_GB2312" w:hAnsi="仿宋"/>
          <w:szCs w:val="32"/>
        </w:rPr>
      </w:pPr>
      <w:r>
        <w:rPr>
          <w:rFonts w:hint="eastAsia" w:ascii="仿宋_GB2312" w:hAnsi="仿宋"/>
          <w:szCs w:val="32"/>
        </w:rPr>
        <w:t>6.</w:t>
      </w:r>
      <w:r>
        <w:rPr>
          <w:rFonts w:hint="eastAsia" w:ascii="仿宋_GB2312" w:hAnsi="仿宋"/>
          <w:b/>
          <w:szCs w:val="32"/>
        </w:rPr>
        <w:t>文化旅游体育与传媒（类）广播电视（款）广播电视事务（项）</w:t>
      </w:r>
      <w:r>
        <w:rPr>
          <w:rFonts w:hint="eastAsia" w:ascii="仿宋_GB2312" w:hAnsi="仿宋"/>
          <w:b/>
          <w:color w:val="000000"/>
          <w:szCs w:val="32"/>
        </w:rPr>
        <w:t>。</w:t>
      </w:r>
      <w:r>
        <w:rPr>
          <w:rFonts w:hint="eastAsia" w:ascii="仿宋_GB2312" w:hAnsi="仿宋"/>
          <w:szCs w:val="32"/>
        </w:rPr>
        <w:t>年初预算为2074.85万元，支出决算为2579.45万元，完成年初预算的124.3%，决算数大于预算数的主要原因是新进人员增加工资和</w:t>
      </w:r>
      <w:r>
        <w:rPr>
          <w:rFonts w:hint="eastAsia"/>
          <w:szCs w:val="32"/>
        </w:rPr>
        <w:t>目标考核奖发放数额增加及</w:t>
      </w:r>
      <w:r>
        <w:rPr>
          <w:rFonts w:hint="eastAsia" w:ascii="仿宋_GB2312" w:hAnsi="仿宋"/>
          <w:szCs w:val="32"/>
        </w:rPr>
        <w:t>其它福利支出。</w:t>
      </w:r>
    </w:p>
    <w:p>
      <w:pPr>
        <w:ind w:firstLine="628" w:firstLineChars="200"/>
        <w:rPr>
          <w:rFonts w:ascii="仿宋_GB2312" w:hAnsi="仿宋"/>
          <w:szCs w:val="32"/>
        </w:rPr>
      </w:pPr>
      <w:r>
        <w:rPr>
          <w:rFonts w:hint="eastAsia" w:ascii="仿宋_GB2312" w:hAnsi="仿宋"/>
          <w:szCs w:val="32"/>
        </w:rPr>
        <w:t>7.</w:t>
      </w:r>
      <w:r>
        <w:rPr>
          <w:rFonts w:hint="eastAsia" w:ascii="仿宋_GB2312" w:hAnsi="仿宋"/>
          <w:b/>
          <w:szCs w:val="32"/>
        </w:rPr>
        <w:t>文化旅游体育与传媒（类）广播电视（款）其他广播电视支出（项）</w:t>
      </w:r>
      <w:r>
        <w:rPr>
          <w:rFonts w:hint="eastAsia" w:ascii="仿宋_GB2312" w:hAnsi="仿宋"/>
          <w:b/>
          <w:color w:val="000000"/>
          <w:szCs w:val="32"/>
        </w:rPr>
        <w:t>。</w:t>
      </w:r>
      <w:r>
        <w:rPr>
          <w:rFonts w:hint="eastAsia" w:ascii="仿宋_GB2312" w:hAnsi="仿宋"/>
          <w:szCs w:val="32"/>
        </w:rPr>
        <w:t>年初预算为0万元，支出决算为31.2万元，决算数大于预算数的主要原因是其它广播电视项目支出的增加。</w:t>
      </w:r>
    </w:p>
    <w:p>
      <w:pPr>
        <w:ind w:firstLine="628" w:firstLineChars="200"/>
        <w:rPr>
          <w:rFonts w:ascii="仿宋_GB2312" w:hAnsi="仿宋"/>
          <w:szCs w:val="32"/>
        </w:rPr>
      </w:pPr>
      <w:r>
        <w:rPr>
          <w:rFonts w:hint="eastAsia" w:ascii="仿宋_GB2312" w:hAnsi="仿宋"/>
          <w:szCs w:val="32"/>
        </w:rPr>
        <w:t>8.</w:t>
      </w:r>
      <w:r>
        <w:rPr>
          <w:rFonts w:hint="eastAsia"/>
        </w:rPr>
        <w:t xml:space="preserve"> </w:t>
      </w:r>
      <w:r>
        <w:rPr>
          <w:rFonts w:hint="eastAsia" w:ascii="仿宋_GB2312" w:hAnsi="仿宋"/>
          <w:b/>
          <w:szCs w:val="32"/>
        </w:rPr>
        <w:t>社会保障和就业（类）行政事业单位养老支出（款）事业单位离退休支出（项）</w:t>
      </w:r>
      <w:r>
        <w:rPr>
          <w:rFonts w:hint="eastAsia" w:ascii="仿宋_GB2312" w:hAnsi="仿宋"/>
          <w:b/>
          <w:color w:val="000000"/>
          <w:szCs w:val="32"/>
        </w:rPr>
        <w:t>。</w:t>
      </w:r>
      <w:r>
        <w:rPr>
          <w:rFonts w:hint="eastAsia" w:ascii="仿宋_GB2312" w:hAnsi="仿宋"/>
          <w:szCs w:val="32"/>
        </w:rPr>
        <w:t>年初预算为3.25万元，支出决算为26.85万元，完成年初预算的826.2%，决算数大于预算数的主要原因是事业单位离退休慰问金的增加。</w:t>
      </w:r>
    </w:p>
    <w:p>
      <w:pPr>
        <w:ind w:firstLine="628" w:firstLineChars="200"/>
        <w:rPr>
          <w:rFonts w:ascii="仿宋_GB2312" w:hAnsi="仿宋"/>
          <w:szCs w:val="32"/>
        </w:rPr>
      </w:pPr>
      <w:r>
        <w:rPr>
          <w:rFonts w:hint="eastAsia" w:ascii="仿宋_GB2312" w:hAnsi="仿宋"/>
          <w:szCs w:val="32"/>
        </w:rPr>
        <w:t>9.</w:t>
      </w:r>
      <w:r>
        <w:rPr>
          <w:rFonts w:hint="eastAsia"/>
        </w:rPr>
        <w:t xml:space="preserve"> </w:t>
      </w:r>
      <w:r>
        <w:rPr>
          <w:rFonts w:hint="eastAsia" w:ascii="仿宋_GB2312" w:hAnsi="仿宋"/>
          <w:b/>
          <w:szCs w:val="32"/>
        </w:rPr>
        <w:t>社会保障和就业（类）行政事业单位养老支出（款） 机关事业单位基本养老保险缴费支出（项）</w:t>
      </w:r>
      <w:r>
        <w:rPr>
          <w:rFonts w:hint="eastAsia" w:ascii="仿宋_GB2312" w:hAnsi="仿宋"/>
          <w:b/>
          <w:color w:val="000000"/>
          <w:szCs w:val="32"/>
        </w:rPr>
        <w:t>。</w:t>
      </w:r>
      <w:r>
        <w:rPr>
          <w:rFonts w:hint="eastAsia" w:ascii="仿宋_GB2312" w:hAnsi="仿宋"/>
          <w:szCs w:val="32"/>
        </w:rPr>
        <w:t>年初预算为101.51万元，支出决算为143.77万元，完成年初预算的141.6%，决算数大于预算数的主要原因是事业单位基本养老保险缴费的增加。</w:t>
      </w:r>
    </w:p>
    <w:p>
      <w:pPr>
        <w:ind w:firstLine="628" w:firstLineChars="200"/>
        <w:rPr>
          <w:rFonts w:ascii="仿宋_GB2312" w:hAnsi="仿宋"/>
          <w:szCs w:val="32"/>
        </w:rPr>
      </w:pPr>
      <w:r>
        <w:rPr>
          <w:rFonts w:hint="eastAsia" w:ascii="仿宋_GB2312" w:hAnsi="仿宋"/>
          <w:szCs w:val="32"/>
        </w:rPr>
        <w:t>10.</w:t>
      </w:r>
      <w:r>
        <w:rPr>
          <w:rFonts w:hint="eastAsia"/>
        </w:rPr>
        <w:t xml:space="preserve"> </w:t>
      </w:r>
      <w:r>
        <w:rPr>
          <w:rFonts w:hint="eastAsia" w:ascii="仿宋_GB2312" w:hAnsi="仿宋"/>
          <w:b/>
          <w:szCs w:val="32"/>
        </w:rPr>
        <w:t>社会保障和就业（类）行政事业单位养老支出（款）机关事业单位职业年金缴费支出（项）</w:t>
      </w:r>
      <w:r>
        <w:rPr>
          <w:rFonts w:hint="eastAsia" w:ascii="仿宋_GB2312" w:hAnsi="仿宋"/>
          <w:b/>
          <w:color w:val="000000"/>
          <w:szCs w:val="32"/>
        </w:rPr>
        <w:t>。</w:t>
      </w:r>
      <w:r>
        <w:rPr>
          <w:rFonts w:hint="eastAsia" w:ascii="仿宋_GB2312" w:hAnsi="仿宋"/>
          <w:szCs w:val="32"/>
        </w:rPr>
        <w:t>年初预算为56.88万元，支出决算为55.14万元，完成年初预算的96.9%，决算数小于预算数的主要原因是事业单位职业年金缴费支出的减少。</w:t>
      </w:r>
    </w:p>
    <w:p>
      <w:pPr>
        <w:ind w:firstLine="628" w:firstLineChars="200"/>
        <w:rPr>
          <w:rFonts w:ascii="仿宋_GB2312" w:hAnsi="仿宋"/>
          <w:szCs w:val="32"/>
        </w:rPr>
      </w:pPr>
      <w:r>
        <w:rPr>
          <w:rFonts w:hint="eastAsia" w:ascii="仿宋_GB2312" w:hAnsi="仿宋"/>
          <w:szCs w:val="32"/>
        </w:rPr>
        <w:t>11.</w:t>
      </w:r>
      <w:r>
        <w:rPr>
          <w:rFonts w:hint="eastAsia"/>
        </w:rPr>
        <w:t xml:space="preserve"> </w:t>
      </w:r>
      <w:r>
        <w:rPr>
          <w:rFonts w:hint="eastAsia" w:ascii="仿宋_GB2312" w:hAnsi="仿宋"/>
          <w:b/>
          <w:szCs w:val="32"/>
        </w:rPr>
        <w:t>卫生健康（类）行政事业单位医疗（款）事业单位医疗（项）</w:t>
      </w:r>
      <w:r>
        <w:rPr>
          <w:rFonts w:hint="eastAsia" w:ascii="仿宋_GB2312" w:hAnsi="仿宋"/>
          <w:b/>
          <w:color w:val="000000"/>
          <w:szCs w:val="32"/>
        </w:rPr>
        <w:t>。</w:t>
      </w:r>
      <w:r>
        <w:rPr>
          <w:rFonts w:hint="eastAsia" w:ascii="仿宋_GB2312" w:hAnsi="仿宋"/>
          <w:szCs w:val="32"/>
        </w:rPr>
        <w:t>年初预算为62.66万元，支出决算为61.85万元，完成年初预算的98.7%，决算数小于预算数的主要原因是事业单位医疗费用减少。</w:t>
      </w:r>
    </w:p>
    <w:p>
      <w:pPr>
        <w:ind w:firstLine="628" w:firstLineChars="200"/>
        <w:rPr>
          <w:rFonts w:ascii="仿宋_GB2312" w:hAnsi="仿宋"/>
          <w:szCs w:val="32"/>
        </w:rPr>
      </w:pPr>
      <w:r>
        <w:rPr>
          <w:rFonts w:hint="eastAsia" w:ascii="仿宋_GB2312" w:hAnsi="仿宋"/>
          <w:szCs w:val="32"/>
        </w:rPr>
        <w:t>12.</w:t>
      </w:r>
      <w:r>
        <w:rPr>
          <w:rFonts w:hint="eastAsia"/>
        </w:rPr>
        <w:t xml:space="preserve"> </w:t>
      </w:r>
      <w:r>
        <w:rPr>
          <w:rFonts w:hint="eastAsia" w:ascii="仿宋_GB2312" w:hAnsi="仿宋"/>
          <w:b/>
          <w:szCs w:val="32"/>
        </w:rPr>
        <w:t>卫生健康（类）行政事业单位医疗（款）其他行政事业单位医疗支出（项）</w:t>
      </w:r>
      <w:r>
        <w:rPr>
          <w:rFonts w:hint="eastAsia" w:ascii="仿宋_GB2312" w:hAnsi="仿宋"/>
          <w:b/>
          <w:color w:val="000000"/>
          <w:szCs w:val="32"/>
        </w:rPr>
        <w:t>。</w:t>
      </w:r>
      <w:r>
        <w:rPr>
          <w:rFonts w:hint="eastAsia" w:ascii="仿宋_GB2312" w:hAnsi="仿宋"/>
          <w:szCs w:val="32"/>
        </w:rPr>
        <w:t>年初预算为4.1万元，支出决算为4.1万元，完成年初预算的100%。</w:t>
      </w:r>
    </w:p>
    <w:p>
      <w:pPr>
        <w:ind w:firstLine="628" w:firstLineChars="200"/>
        <w:rPr>
          <w:rFonts w:ascii="仿宋_GB2312" w:hAnsi="仿宋"/>
          <w:szCs w:val="32"/>
        </w:rPr>
      </w:pPr>
      <w:r>
        <w:rPr>
          <w:rFonts w:hint="eastAsia" w:ascii="仿宋_GB2312" w:hAnsi="仿宋"/>
          <w:szCs w:val="32"/>
        </w:rPr>
        <w:t>13.</w:t>
      </w:r>
      <w:r>
        <w:rPr>
          <w:rFonts w:hint="eastAsia"/>
        </w:rPr>
        <w:t xml:space="preserve"> </w:t>
      </w:r>
      <w:r>
        <w:rPr>
          <w:rFonts w:hint="eastAsia" w:ascii="仿宋_GB2312" w:hAnsi="仿宋"/>
          <w:b/>
          <w:szCs w:val="32"/>
        </w:rPr>
        <w:t>农林水（类）扶贫（款）其他扶贫支出（项）</w:t>
      </w:r>
      <w:r>
        <w:rPr>
          <w:rFonts w:hint="eastAsia" w:ascii="仿宋_GB2312" w:hAnsi="仿宋"/>
          <w:b/>
          <w:color w:val="000000"/>
          <w:szCs w:val="32"/>
        </w:rPr>
        <w:t>。</w:t>
      </w:r>
      <w:r>
        <w:rPr>
          <w:rFonts w:hint="eastAsia" w:ascii="仿宋_GB2312" w:hAnsi="仿宋"/>
          <w:szCs w:val="32"/>
        </w:rPr>
        <w:t>年初预算为0万元，支出决算为1万元，决算数大于预算数的主要原因是我单位按规定安排市乡村振兴选派干部扶贫支出。</w:t>
      </w:r>
    </w:p>
    <w:p>
      <w:pPr>
        <w:ind w:firstLine="628" w:firstLineChars="200"/>
        <w:rPr>
          <w:rFonts w:ascii="仿宋_GB2312" w:hAnsi="仿宋"/>
          <w:szCs w:val="32"/>
        </w:rPr>
      </w:pPr>
      <w:r>
        <w:rPr>
          <w:rFonts w:hint="eastAsia" w:ascii="仿宋_GB2312" w:hAnsi="仿宋"/>
          <w:szCs w:val="32"/>
        </w:rPr>
        <w:t>14.</w:t>
      </w:r>
      <w:r>
        <w:rPr>
          <w:rFonts w:hint="eastAsia"/>
        </w:rPr>
        <w:t xml:space="preserve"> </w:t>
      </w:r>
      <w:r>
        <w:rPr>
          <w:rFonts w:hint="eastAsia" w:ascii="仿宋_GB2312" w:hAnsi="仿宋"/>
          <w:b/>
          <w:szCs w:val="32"/>
        </w:rPr>
        <w:t>住房保障（类）住房改革支出（款）住房公积金（项）</w:t>
      </w:r>
      <w:r>
        <w:rPr>
          <w:rFonts w:hint="eastAsia" w:ascii="仿宋_GB2312" w:hAnsi="仿宋"/>
          <w:b/>
          <w:color w:val="000000"/>
          <w:szCs w:val="32"/>
        </w:rPr>
        <w:t>。</w:t>
      </w:r>
      <w:r>
        <w:rPr>
          <w:rFonts w:hint="eastAsia" w:ascii="仿宋_GB2312" w:hAnsi="仿宋"/>
          <w:szCs w:val="32"/>
        </w:rPr>
        <w:t>年初预算为108.77万元，支出决算为109.03万元，完成年初预算的100.2%，决算数大于预算数的主要原因是增加了住房公积金。</w:t>
      </w:r>
    </w:p>
    <w:p>
      <w:pPr>
        <w:ind w:firstLine="628" w:firstLineChars="200"/>
        <w:rPr>
          <w:rFonts w:ascii="仿宋_GB2312" w:hAnsi="仿宋"/>
          <w:szCs w:val="32"/>
        </w:rPr>
      </w:pPr>
      <w:r>
        <w:rPr>
          <w:rFonts w:hint="eastAsia" w:ascii="仿宋_GB2312" w:hAnsi="仿宋"/>
          <w:szCs w:val="32"/>
        </w:rPr>
        <w:t>15.</w:t>
      </w:r>
      <w:r>
        <w:rPr>
          <w:rFonts w:hint="eastAsia"/>
        </w:rPr>
        <w:t xml:space="preserve"> </w:t>
      </w:r>
      <w:r>
        <w:rPr>
          <w:rFonts w:hint="eastAsia" w:ascii="仿宋_GB2312" w:hAnsi="仿宋"/>
          <w:b/>
          <w:szCs w:val="32"/>
        </w:rPr>
        <w:t>住房保障（类）住房改革支出（款）提租补贴（项）</w:t>
      </w:r>
      <w:r>
        <w:rPr>
          <w:rFonts w:hint="eastAsia" w:ascii="仿宋_GB2312" w:hAnsi="仿宋"/>
          <w:b/>
          <w:color w:val="000000"/>
          <w:szCs w:val="32"/>
        </w:rPr>
        <w:t>。</w:t>
      </w:r>
      <w:r>
        <w:rPr>
          <w:rFonts w:hint="eastAsia" w:ascii="仿宋_GB2312" w:hAnsi="仿宋"/>
          <w:szCs w:val="32"/>
        </w:rPr>
        <w:t>年初预算为0万元，支出决算为41.19万元，决算数大于预算数的主要原因是增加了住房提租补贴。</w:t>
      </w:r>
    </w:p>
    <w:p>
      <w:pPr>
        <w:ind w:firstLine="628" w:firstLineChars="200"/>
        <w:rPr>
          <w:rFonts w:ascii="黑体" w:hAnsi="仿宋" w:eastAsia="黑体"/>
          <w:szCs w:val="32"/>
        </w:rPr>
      </w:pPr>
      <w:r>
        <w:rPr>
          <w:rFonts w:hint="eastAsia" w:ascii="黑体" w:hAnsi="仿宋" w:eastAsia="黑体"/>
          <w:szCs w:val="32"/>
        </w:rPr>
        <w:t>六、一般公共预算财政拨款基本支出决算情况说明</w:t>
      </w:r>
    </w:p>
    <w:p>
      <w:pPr>
        <w:ind w:firstLine="628" w:firstLineChars="200"/>
        <w:rPr>
          <w:rFonts w:ascii="仿宋_GB2312" w:hAnsi="仿宋"/>
          <w:szCs w:val="32"/>
        </w:rPr>
      </w:pPr>
      <w:r>
        <w:rPr>
          <w:rFonts w:hint="eastAsia" w:ascii="仿宋_GB2312" w:hAnsi="仿宋"/>
          <w:szCs w:val="32"/>
        </w:rPr>
        <w:t>2021年度财政拨款基本支出3265.88万元，其中</w:t>
      </w:r>
      <w:r>
        <w:rPr>
          <w:rFonts w:hint="eastAsia" w:ascii="仿宋_GB2312" w:hAnsi="仿宋"/>
          <w:color w:val="000000"/>
          <w:szCs w:val="32"/>
        </w:rPr>
        <w:t>：</w:t>
      </w:r>
      <w:r>
        <w:rPr>
          <w:rFonts w:hint="eastAsia" w:ascii="仿宋_GB2312" w:hAnsi="仿宋"/>
          <w:szCs w:val="32"/>
        </w:rPr>
        <w:t>人员经费2890.11万元，主要包括:基本工资、奖金、伙食补助费、绩效工资、机关事业单位基本养老保险缴费、职业年金缴费、职工基本医疗保险缴费、其他社会保障缴费、住房公积金、其他工资福利支出、生活补助、奖励金、个人农业生产补贴、其他对个人和家庭的补助支出；公用经费375.77万元，主要包括：办公费、印刷费、手续费、水费、电费、邮电费、物业管理费、差旅费、维修（护）费、公务接待费、劳务费、工会经费、公务用车运行维护费、其他交通费用、其他商品和服务支出、专用设备购置等。</w:t>
      </w:r>
    </w:p>
    <w:p>
      <w:pPr>
        <w:ind w:firstLine="628" w:firstLineChars="200"/>
        <w:rPr>
          <w:rFonts w:ascii="黑体" w:hAnsi="黑体" w:eastAsia="黑体"/>
          <w:szCs w:val="32"/>
        </w:rPr>
      </w:pPr>
      <w:r>
        <w:rPr>
          <w:rFonts w:hint="eastAsia" w:ascii="黑体" w:hAnsi="仿宋" w:eastAsia="黑体"/>
          <w:szCs w:val="32"/>
        </w:rPr>
        <w:t>七、</w:t>
      </w:r>
      <w:r>
        <w:rPr>
          <w:rFonts w:hint="eastAsia" w:ascii="黑体" w:hAnsi="黑体" w:eastAsia="黑体"/>
          <w:szCs w:val="32"/>
        </w:rPr>
        <w:t>政府性基金预算财政拨款收入支出决算情况说明</w:t>
      </w:r>
    </w:p>
    <w:p>
      <w:pPr>
        <w:ind w:firstLine="628" w:firstLineChars="200"/>
        <w:rPr>
          <w:rFonts w:ascii="仿宋_GB2312" w:hAnsi="仿宋"/>
          <w:szCs w:val="32"/>
        </w:rPr>
      </w:pPr>
      <w:r>
        <w:rPr>
          <w:rFonts w:hint="eastAsia" w:ascii="仿宋_GB2312" w:hAnsi="仿宋"/>
          <w:szCs w:val="32"/>
        </w:rPr>
        <w:t>黄山市广播电视台本级没有政府性基金预算收入，也没有使用政府性基金预算安排的支出。</w:t>
      </w:r>
    </w:p>
    <w:p>
      <w:pPr>
        <w:ind w:firstLine="628" w:firstLineChars="200"/>
        <w:rPr>
          <w:rFonts w:ascii="黑体" w:hAnsi="黑体" w:eastAsia="黑体"/>
          <w:szCs w:val="32"/>
        </w:rPr>
      </w:pPr>
      <w:r>
        <w:rPr>
          <w:rFonts w:hint="eastAsia" w:ascii="黑体" w:hAnsi="黑体" w:eastAsia="黑体"/>
          <w:szCs w:val="32"/>
        </w:rPr>
        <w:t>八、国有资本经营预算财政拨款支出情况说明</w:t>
      </w:r>
    </w:p>
    <w:p>
      <w:pPr>
        <w:ind w:firstLine="628" w:firstLineChars="200"/>
        <w:rPr>
          <w:rFonts w:ascii="仿宋_GB2312" w:hAnsi="仿宋"/>
          <w:szCs w:val="32"/>
        </w:rPr>
      </w:pPr>
      <w:r>
        <w:rPr>
          <w:rFonts w:hint="eastAsia" w:ascii="仿宋_GB2312" w:hAnsi="仿宋"/>
          <w:szCs w:val="32"/>
        </w:rPr>
        <w:t>黄山市广播电视台本级没有使用国有资本经营预算财政拨款安排的支出。</w:t>
      </w:r>
    </w:p>
    <w:p>
      <w:pPr>
        <w:adjustRightInd w:val="0"/>
        <w:snapToGrid w:val="0"/>
        <w:spacing w:line="600" w:lineRule="exact"/>
        <w:ind w:firstLine="628" w:firstLineChars="200"/>
        <w:rPr>
          <w:rFonts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28" w:firstLineChars="200"/>
        <w:rPr>
          <w:rFonts w:ascii="仿宋_GB2312" w:hAnsi="楷体"/>
          <w:b/>
          <w:szCs w:val="32"/>
        </w:rPr>
      </w:pPr>
      <w:r>
        <w:rPr>
          <w:rFonts w:hint="eastAsia" w:ascii="仿宋_GB2312" w:hAnsi="楷体"/>
          <w:b/>
          <w:szCs w:val="32"/>
        </w:rPr>
        <w:t>（一）机关运行经费支出情况。</w:t>
      </w:r>
    </w:p>
    <w:p>
      <w:pPr>
        <w:adjustRightInd w:val="0"/>
        <w:snapToGrid w:val="0"/>
        <w:spacing w:line="600" w:lineRule="exact"/>
        <w:ind w:firstLine="628" w:firstLineChars="200"/>
        <w:rPr>
          <w:rFonts w:ascii="仿宋" w:hAnsi="仿宋" w:eastAsia="仿宋"/>
          <w:szCs w:val="32"/>
        </w:rPr>
      </w:pPr>
      <w:r>
        <w:rPr>
          <w:rFonts w:hint="eastAsia" w:ascii="仿宋_GB2312" w:hAnsi="仿宋"/>
          <w:szCs w:val="32"/>
        </w:rPr>
        <w:t>2021年度，黄山市</w:t>
      </w:r>
      <w:r>
        <w:rPr>
          <w:rFonts w:hint="eastAsia" w:ascii="仿宋" w:hAnsi="仿宋" w:eastAsia="仿宋"/>
          <w:szCs w:val="32"/>
        </w:rPr>
        <w:t>广播电视台本级为事业单位，按照财政部部门决算机关运行经费的口径，本年度机关运行经费为0。</w:t>
      </w:r>
    </w:p>
    <w:p>
      <w:pPr>
        <w:adjustRightInd w:val="0"/>
        <w:snapToGrid w:val="0"/>
        <w:spacing w:line="600" w:lineRule="exact"/>
        <w:ind w:firstLine="628" w:firstLineChars="200"/>
        <w:rPr>
          <w:rFonts w:ascii="仿宋_GB2312" w:hAnsi="楷体"/>
          <w:b/>
          <w:szCs w:val="32"/>
        </w:rPr>
      </w:pPr>
      <w:r>
        <w:rPr>
          <w:rFonts w:hint="eastAsia" w:ascii="仿宋_GB2312" w:hAnsi="楷体"/>
          <w:b/>
          <w:szCs w:val="32"/>
        </w:rPr>
        <w:t>（二）政府采购支出情况。</w:t>
      </w:r>
    </w:p>
    <w:p>
      <w:pPr>
        <w:jc w:val="left"/>
        <w:rPr>
          <w:rFonts w:ascii="仿宋_GB2312" w:hAnsi="仿宋"/>
          <w:szCs w:val="32"/>
        </w:rPr>
      </w:pPr>
      <w:r>
        <w:rPr>
          <w:rFonts w:hint="eastAsia" w:ascii="仿宋_GB2312" w:hAnsi="仿宋"/>
          <w:szCs w:val="32"/>
        </w:rPr>
        <w:t xml:space="preserve">    2021年度，黄山市广播电视台（本级）政府采购支出总额0万元，其中：政府采购货物支出0万元、政府采购工程支出0万元、政府采购服务支出0万元。授予中小企业合同金额0万元，占政府采购支出总额的0%，其中：</w:t>
      </w:r>
      <w:r>
        <w:rPr>
          <w:rFonts w:hint="eastAsia" w:ascii="仿宋" w:hAnsi="仿宋" w:eastAsia="仿宋"/>
        </w:rPr>
        <w:t>授予小微企业合同金额0 万元，占授予中小企业合同金额的0%；货物采购授予中小企业合同金额占货物支出金额的0%，工程采购授予中小企业合同金额占工程支出金额的0%，服务采购授予中小企业合同金额占服务支出金额的0%。</w:t>
      </w:r>
    </w:p>
    <w:p>
      <w:pPr>
        <w:adjustRightInd w:val="0"/>
        <w:snapToGrid w:val="0"/>
        <w:spacing w:line="600" w:lineRule="exact"/>
        <w:ind w:firstLine="628" w:firstLineChars="200"/>
        <w:rPr>
          <w:rFonts w:ascii="仿宋_GB2312" w:hAnsi="楷体"/>
          <w:b/>
          <w:szCs w:val="32"/>
        </w:rPr>
      </w:pPr>
      <w:r>
        <w:rPr>
          <w:rFonts w:hint="eastAsia" w:ascii="仿宋_GB2312" w:hAnsi="楷体"/>
          <w:b/>
          <w:szCs w:val="32"/>
        </w:rPr>
        <w:t>（三）国有资产占有使用情况。</w:t>
      </w:r>
    </w:p>
    <w:p>
      <w:pPr>
        <w:adjustRightInd w:val="0"/>
        <w:snapToGrid w:val="0"/>
        <w:spacing w:line="600" w:lineRule="exact"/>
        <w:ind w:firstLine="628" w:firstLineChars="200"/>
        <w:rPr>
          <w:rFonts w:ascii="仿宋_GB2312" w:hAnsi="楷体"/>
          <w:b/>
          <w:szCs w:val="32"/>
        </w:rPr>
      </w:pPr>
      <w:r>
        <w:rPr>
          <w:rFonts w:hint="eastAsia" w:ascii="仿宋_GB2312" w:hAnsi="楷体"/>
          <w:szCs w:val="32"/>
        </w:rPr>
        <w:t>截至2021年12月31日，</w:t>
      </w:r>
      <w:r>
        <w:rPr>
          <w:rFonts w:hint="eastAsia" w:ascii="仿宋_GB2312" w:hAnsi="仿宋"/>
          <w:szCs w:val="32"/>
        </w:rPr>
        <w:t>黄山市广播电视台（本级）共有车辆9辆，其中：专业用车8辆、特种专业技术用车1辆；单价50万元以上的通用设备7台（套），单价100万元以上专用设备0台（套）。</w:t>
      </w:r>
      <w:r>
        <w:rPr>
          <w:rFonts w:ascii="仿宋_GB2312" w:hAnsi="仿宋"/>
          <w:szCs w:val="32"/>
        </w:rPr>
        <w:br w:type="textWrapping"/>
      </w: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楷体"/>
          <w:b/>
          <w:szCs w:val="32"/>
        </w:rPr>
        <w:t>（四）关于2021年度预算绩效情况说明</w:t>
      </w:r>
    </w:p>
    <w:p>
      <w:pPr>
        <w:spacing w:line="560" w:lineRule="exact"/>
        <w:ind w:firstLine="628" w:firstLineChars="200"/>
        <w:rPr>
          <w:rFonts w:ascii="楷体" w:hAnsi="楷体" w:eastAsia="楷体" w:cs="楷体"/>
          <w:bCs/>
          <w:szCs w:val="32"/>
        </w:rPr>
      </w:pPr>
      <w:r>
        <w:rPr>
          <w:rFonts w:hint="eastAsia" w:ascii="仿宋_GB2312" w:hAnsi="仿宋_GB2312" w:cs="仿宋_GB2312"/>
          <w:b/>
          <w:bCs/>
          <w:szCs w:val="32"/>
        </w:rPr>
        <w:t>1.预算绩效管理工作开展情况。</w:t>
      </w:r>
    </w:p>
    <w:p>
      <w:pPr>
        <w:spacing w:line="560" w:lineRule="exact"/>
        <w:ind w:firstLine="628" w:firstLineChars="200"/>
        <w:rPr>
          <w:rFonts w:ascii="仿宋_GB2312" w:hAnsi="仿宋_GB2312" w:cs="仿宋_GB2312"/>
          <w:szCs w:val="32"/>
        </w:rPr>
      </w:pPr>
      <w:r>
        <w:rPr>
          <w:rFonts w:hint="eastAsia" w:ascii="仿宋" w:hAnsi="仿宋" w:eastAsia="仿宋" w:cs="仿宋"/>
          <w:szCs w:val="32"/>
        </w:rPr>
        <w:t>根据预算绩效管理要求，我单位对2021年度纳入单位预算</w:t>
      </w:r>
      <w:r>
        <w:rPr>
          <w:rFonts w:hint="eastAsia" w:ascii="仿宋_GB2312" w:hAnsi="仿宋_GB2312" w:cs="仿宋_GB2312"/>
          <w:szCs w:val="32"/>
        </w:rPr>
        <w:t>的项目支出全面开展了绩效自评，共3个项目，涉及资金213万元，占项目预算总额的100%。从</w:t>
      </w:r>
      <w:r>
        <w:rPr>
          <w:rFonts w:hint="eastAsia" w:ascii="仿宋" w:hAnsi="仿宋" w:eastAsia="仿宋" w:cs="仿宋"/>
          <w:szCs w:val="32"/>
        </w:rPr>
        <w:t>评价情况看，</w:t>
      </w:r>
      <w:r>
        <w:rPr>
          <w:rFonts w:hint="eastAsia" w:ascii="仿宋_GB2312" w:hAnsi="仿宋_GB2312" w:cs="仿宋_GB2312"/>
          <w:szCs w:val="32"/>
        </w:rPr>
        <w:t>能够贯彻执行党的宣传方针，坚持正确舆论导向，及时准确地宣传党的路线方针政策，为党委、政府工作大局和中心工作服务。做好广播电视节目安全播出和技术保障工作，加快科技创新和改革步伐，努力提升广播电视的科技含量和播出水平。确保广播电视信号等工作达到了预期绩效目标。</w:t>
      </w:r>
    </w:p>
    <w:p>
      <w:pPr>
        <w:ind w:firstLine="628" w:firstLineChars="200"/>
        <w:rPr>
          <w:rFonts w:ascii="仿宋_GB2312" w:cs="仿宋_GB2312"/>
          <w:szCs w:val="32"/>
        </w:rPr>
      </w:pPr>
      <w:r>
        <w:rPr>
          <w:rFonts w:hint="eastAsia" w:ascii="仿宋_GB2312" w:hAnsi="仿宋_GB2312" w:cs="仿宋_GB2312"/>
          <w:szCs w:val="32"/>
        </w:rPr>
        <w:t>我单位共组织对“宣传黄山”等3个项目开展了单位绩效评价，涉及资金213万元。</w:t>
      </w:r>
      <w:r>
        <w:rPr>
          <w:rFonts w:hint="eastAsia" w:ascii="仿宋" w:hAnsi="仿宋" w:eastAsia="仿宋" w:cs="仿宋_GB2312"/>
          <w:szCs w:val="32"/>
        </w:rPr>
        <w:t>上述项目单位组织开展绩效评价</w:t>
      </w:r>
      <w:r>
        <w:rPr>
          <w:rFonts w:hint="eastAsia" w:ascii="仿宋_GB2312" w:hAnsi="仿宋_GB2312" w:cs="仿宋_GB2312"/>
          <w:szCs w:val="32"/>
        </w:rPr>
        <w:t>。从评价情况看，能够做到宣传黄山，关注民生，服务百姓</w:t>
      </w:r>
      <w:r>
        <w:rPr>
          <w:rFonts w:ascii="仿宋_GB2312" w:cs="仿宋_GB2312"/>
          <w:szCs w:val="32"/>
        </w:rPr>
        <w:t>,</w:t>
      </w:r>
      <w:r>
        <w:rPr>
          <w:rFonts w:hint="eastAsia" w:ascii="仿宋_GB2312" w:hAnsi="仿宋_GB2312" w:cs="仿宋_GB2312"/>
          <w:szCs w:val="32"/>
        </w:rPr>
        <w:t>监督政风行风，化解社会矛盾通过安全优质的广播电视讯号传送，努力发挥广电作为党和政府喉舌、连接人民群众桥梁纽带作用。发挥正确舆论导向，传播科普知识，提供健康向上精品节目，丰富人民群众精神文化生活，不断提高国民素质等工作达到了预期绩效目标。</w:t>
      </w:r>
    </w:p>
    <w:p>
      <w:pPr>
        <w:ind w:firstLine="628" w:firstLineChars="200"/>
        <w:rPr>
          <w:rFonts w:ascii="仿宋_GB2312" w:cs="仿宋_GB2312"/>
          <w:szCs w:val="32"/>
        </w:rPr>
      </w:pPr>
      <w:r>
        <w:rPr>
          <w:rFonts w:hint="eastAsia" w:ascii="仿宋_GB2312" w:hAnsi="仿宋_GB2312" w:cs="仿宋_GB2312"/>
          <w:szCs w:val="32"/>
        </w:rPr>
        <w:t>组织开展</w:t>
      </w:r>
      <w:r>
        <w:rPr>
          <w:rFonts w:ascii="仿宋_GB2312" w:hAnsi="仿宋_GB2312" w:cs="仿宋_GB2312"/>
          <w:szCs w:val="32"/>
        </w:rPr>
        <w:t>202</w:t>
      </w:r>
      <w:r>
        <w:rPr>
          <w:rFonts w:hint="eastAsia" w:ascii="仿宋_GB2312" w:hAnsi="仿宋_GB2312" w:cs="仿宋_GB2312"/>
          <w:szCs w:val="32"/>
        </w:rPr>
        <w:t>1年度单位整体支出绩效自评。评价结果显示，本单位能够做好广播电视节目安全播出和技术保障工作，加快科技创新和改革步伐，努力提升广播电视的科技含量和播出水平，做好市委市政府重点宣传，为百姓排忧解难履行部门职责，加强机关党建、文明创建、目标绩效考核、党风廉政建设和效能建设。及时、准确的宣传好党和政府的声音等工作达到了预期绩效目标。</w:t>
      </w:r>
    </w:p>
    <w:p>
      <w:pPr>
        <w:spacing w:line="560" w:lineRule="exact"/>
        <w:ind w:firstLine="628" w:firstLineChars="200"/>
        <w:rPr>
          <w:rFonts w:ascii="楷体" w:hAnsi="楷体" w:eastAsia="楷体" w:cs="楷体"/>
          <w:bCs/>
          <w:szCs w:val="32"/>
        </w:rPr>
      </w:pPr>
      <w:r>
        <w:rPr>
          <w:rFonts w:hint="eastAsia" w:ascii="仿宋_GB2312" w:hAnsi="仿宋_GB2312" w:cs="仿宋_GB2312"/>
          <w:b/>
          <w:bCs/>
          <w:szCs w:val="32"/>
        </w:rPr>
        <w:t>2.单位决算中项目绩效自评结果。</w:t>
      </w:r>
    </w:p>
    <w:p>
      <w:pPr>
        <w:ind w:firstLine="640"/>
        <w:rPr>
          <w:rFonts w:ascii="仿宋_GB2312" w:cs="仿宋_GB2312"/>
          <w:szCs w:val="32"/>
        </w:rPr>
      </w:pPr>
      <w:r>
        <w:rPr>
          <w:rFonts w:hint="eastAsia" w:ascii="仿宋_GB2312" w:hAnsi="仿宋_GB2312" w:cs="仿宋_GB2312"/>
          <w:szCs w:val="32"/>
        </w:rPr>
        <w:t>黄山市广播电视台本级在</w:t>
      </w:r>
      <w:r>
        <w:rPr>
          <w:rFonts w:ascii="仿宋_GB2312" w:hAnsi="仿宋_GB2312" w:cs="仿宋_GB2312"/>
          <w:szCs w:val="32"/>
        </w:rPr>
        <w:t>202</w:t>
      </w:r>
      <w:r>
        <w:rPr>
          <w:rFonts w:hint="eastAsia" w:ascii="仿宋_GB2312" w:hAnsi="仿宋_GB2312" w:cs="仿宋_GB2312"/>
          <w:szCs w:val="32"/>
        </w:rPr>
        <w:t>1年度单位决算中反映“市委市政府重点宣传”等项目绩效自评结果</w:t>
      </w:r>
      <w:r>
        <w:rPr>
          <w:rFonts w:hint="eastAsia" w:ascii="仿宋_GB2312" w:hAnsi="黑体" w:cs="Arial"/>
          <w:color w:val="191919"/>
          <w:szCs w:val="32"/>
        </w:rPr>
        <w:t>等次为好</w:t>
      </w:r>
      <w:r>
        <w:rPr>
          <w:rFonts w:hint="eastAsia" w:ascii="仿宋_GB2312" w:hAnsi="仿宋_GB2312" w:cs="仿宋_GB2312"/>
          <w:szCs w:val="32"/>
        </w:rPr>
        <w:t>。</w:t>
      </w:r>
    </w:p>
    <w:p>
      <w:pPr>
        <w:spacing w:line="560" w:lineRule="exact"/>
        <w:ind w:firstLine="600"/>
        <w:rPr>
          <w:rFonts w:ascii="仿宋_GB2312" w:hAnsi="黑体" w:cs="Arial"/>
          <w:color w:val="191919"/>
          <w:szCs w:val="32"/>
        </w:rPr>
      </w:pPr>
      <w:r>
        <w:rPr>
          <w:rFonts w:hint="eastAsia"/>
        </w:rPr>
        <w:t>“市委市政府重点宣传”等项目绩效自评综述：根据年初设定的绩效目标，“市委市政府重点宣传”项目绩效自评得分为100分。项目全年预算数为213万元，执行数为213万元，完成预算的</w:t>
      </w:r>
      <w:r>
        <w:t>100.0%</w:t>
      </w:r>
      <w:r>
        <w:rPr>
          <w:rFonts w:hint="eastAsia"/>
        </w:rPr>
        <w:t>。主要产出和效果：通过项目实施，黄山市广播电视台本级项目支出绩效综合评价情况分为一级指标，分值统一设置为：产出指标</w:t>
      </w:r>
      <w:r>
        <w:t>50</w:t>
      </w:r>
      <w:r>
        <w:rPr>
          <w:rFonts w:hint="eastAsia"/>
        </w:rPr>
        <w:t>分、效益指标</w:t>
      </w:r>
      <w:r>
        <w:t>30</w:t>
      </w:r>
      <w:r>
        <w:rPr>
          <w:rFonts w:hint="eastAsia"/>
        </w:rPr>
        <w:t>分、服务对象满意度指标</w:t>
      </w:r>
      <w:r>
        <w:t>10</w:t>
      </w:r>
      <w:r>
        <w:rPr>
          <w:rFonts w:hint="eastAsia"/>
        </w:rPr>
        <w:t>分、预算资金执行率</w:t>
      </w:r>
      <w:r>
        <w:t>10</w:t>
      </w:r>
      <w:r>
        <w:rPr>
          <w:rFonts w:hint="eastAsia"/>
        </w:rPr>
        <w:t>分</w:t>
      </w:r>
      <w:r>
        <w:t>,</w:t>
      </w:r>
      <w:r>
        <w:rPr>
          <w:rFonts w:hint="eastAsia"/>
        </w:rPr>
        <w:t>；定性指标根据指标完成情况分为：达成预期指标、部分达成预期指标并具有一定效果、未达成预期指标且效果较差三档，分别按照该指标对应分值区间</w:t>
      </w:r>
      <w:r>
        <w:t>100-80%(</w:t>
      </w:r>
      <w:r>
        <w:rPr>
          <w:rFonts w:hint="eastAsia"/>
        </w:rPr>
        <w:t>含</w:t>
      </w:r>
      <w:r>
        <w:t>80%)</w:t>
      </w:r>
      <w:r>
        <w:rPr>
          <w:rFonts w:hint="eastAsia"/>
        </w:rPr>
        <w:t>、</w:t>
      </w:r>
      <w:r>
        <w:t>80-60%(</w:t>
      </w:r>
      <w:r>
        <w:rPr>
          <w:rFonts w:hint="eastAsia"/>
        </w:rPr>
        <w:t>含</w:t>
      </w:r>
      <w:r>
        <w:t>60%)</w:t>
      </w:r>
      <w:r>
        <w:rPr>
          <w:rFonts w:hint="eastAsia"/>
        </w:rPr>
        <w:t>、</w:t>
      </w:r>
      <w:r>
        <w:t>60-0%</w:t>
      </w:r>
      <w:r>
        <w:rPr>
          <w:rFonts w:hint="eastAsia"/>
        </w:rPr>
        <w:t>合理确定分值。</w:t>
      </w:r>
      <w:r>
        <w:rPr>
          <w:rFonts w:hint="eastAsia" w:hAnsi="仿宋_GB2312" w:cs="仿宋_GB2312"/>
        </w:rPr>
        <w:t>黄山市广播电视台本级项目支出绩效综合评价结论达成预期指标得分</w:t>
      </w:r>
      <w:r>
        <w:rPr>
          <w:rFonts w:hAnsi="仿宋_GB2312" w:cs="仿宋_GB2312"/>
        </w:rPr>
        <w:t>100</w:t>
      </w:r>
      <w:r>
        <w:rPr>
          <w:rFonts w:hint="eastAsia" w:hAnsi="仿宋_GB2312" w:cs="仿宋_GB2312"/>
        </w:rPr>
        <w:t>、执行率</w:t>
      </w:r>
      <w:r>
        <w:rPr>
          <w:rFonts w:hAnsi="仿宋_GB2312" w:cs="仿宋_GB2312"/>
        </w:rPr>
        <w:t>100.0%</w:t>
      </w:r>
      <w:r>
        <w:rPr>
          <w:rFonts w:hint="eastAsia" w:hAnsi="仿宋_GB2312" w:cs="仿宋_GB2312"/>
        </w:rPr>
        <w:t>、为好。</w:t>
      </w:r>
      <w:r>
        <w:rPr>
          <w:rFonts w:hint="eastAsia" w:hAnsi="仿宋_GB2312" w:cs="仿宋_GB2312"/>
          <w:bCs/>
        </w:rPr>
        <w:t>发现的主要问题：</w:t>
      </w:r>
      <w:r>
        <w:rPr>
          <w:rFonts w:hint="eastAsia"/>
        </w:rPr>
        <w:t>一是绩效管理缺乏系统性。二是考核指标量化不够细。三是考核工作不够严谨。四是考核结果运用不到位。</w:t>
      </w:r>
      <w:r>
        <w:rPr>
          <w:rFonts w:hint="eastAsia" w:hAnsi="仿宋_GB2312" w:cs="仿宋_GB2312"/>
          <w:bCs/>
        </w:rPr>
        <w:t>下一步改进措施：</w:t>
      </w:r>
      <w:r>
        <w:rPr>
          <w:rFonts w:hint="eastAsia"/>
        </w:rPr>
        <w:t>加快项目实施进度，加强绩效目标的刚性约束，建立绩效目标考评体系，提升绩效管理水平，及时跟踪问效，实施全程可查询、可追溯、可控制。</w:t>
      </w:r>
    </w:p>
    <w:p>
      <w:pPr>
        <w:ind w:firstLine="640"/>
        <w:rPr>
          <w:rFonts w:ascii="仿宋_GB2312" w:cs="仿宋_GB2312"/>
          <w:bCs/>
          <w:szCs w:val="32"/>
        </w:rPr>
      </w:pPr>
      <w:r>
        <w:rPr>
          <w:rFonts w:hint="eastAsia" w:ascii="仿宋_GB2312" w:hAnsi="仿宋_GB2312" w:cs="仿宋_GB2312"/>
          <w:bCs/>
          <w:szCs w:val="32"/>
        </w:rPr>
        <w:t>公开上述项目的绩效自评表。</w:t>
      </w:r>
    </w:p>
    <w:tbl>
      <w:tblPr>
        <w:tblStyle w:val="6"/>
        <w:tblW w:w="8910" w:type="dxa"/>
        <w:tblInd w:w="93" w:type="dxa"/>
        <w:tblLayout w:type="fixed"/>
        <w:tblCellMar>
          <w:top w:w="0" w:type="dxa"/>
          <w:left w:w="108" w:type="dxa"/>
          <w:bottom w:w="0" w:type="dxa"/>
          <w:right w:w="108" w:type="dxa"/>
        </w:tblCellMar>
      </w:tblPr>
      <w:tblGrid>
        <w:gridCol w:w="885"/>
        <w:gridCol w:w="617"/>
        <w:gridCol w:w="527"/>
        <w:gridCol w:w="873"/>
        <w:gridCol w:w="651"/>
        <w:gridCol w:w="240"/>
        <w:gridCol w:w="2319"/>
        <w:gridCol w:w="477"/>
        <w:gridCol w:w="517"/>
        <w:gridCol w:w="422"/>
        <w:gridCol w:w="95"/>
        <w:gridCol w:w="756"/>
        <w:gridCol w:w="100"/>
        <w:gridCol w:w="431"/>
      </w:tblGrid>
      <w:tr>
        <w:tblPrEx>
          <w:tblLayout w:type="fixed"/>
          <w:tblCellMar>
            <w:top w:w="0" w:type="dxa"/>
            <w:left w:w="108" w:type="dxa"/>
            <w:bottom w:w="0" w:type="dxa"/>
            <w:right w:w="108" w:type="dxa"/>
          </w:tblCellMar>
        </w:tblPrEx>
        <w:trPr>
          <w:trHeight w:val="330" w:hRule="atLeast"/>
        </w:trPr>
        <w:tc>
          <w:tcPr>
            <w:tcW w:w="1502" w:type="dxa"/>
            <w:gridSpan w:val="2"/>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附件2</w:t>
            </w:r>
          </w:p>
        </w:tc>
        <w:tc>
          <w:tcPr>
            <w:tcW w:w="527"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p>
        </w:tc>
        <w:tc>
          <w:tcPr>
            <w:tcW w:w="873"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p>
        </w:tc>
        <w:tc>
          <w:tcPr>
            <w:tcW w:w="651"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p>
        </w:tc>
        <w:tc>
          <w:tcPr>
            <w:tcW w:w="240"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2319" w:type="dxa"/>
            <w:tcBorders>
              <w:top w:val="nil"/>
              <w:left w:val="nil"/>
              <w:bottom w:val="nil"/>
              <w:right w:val="nil"/>
            </w:tcBorders>
            <w:shd w:val="clear" w:color="auto" w:fill="auto"/>
            <w:vAlign w:val="center"/>
          </w:tcPr>
          <w:p>
            <w:pPr>
              <w:widowControl/>
              <w:jc w:val="left"/>
              <w:rPr>
                <w:rFonts w:ascii="宋体" w:hAnsi="宋体" w:eastAsia="宋体" w:cs="宋体"/>
                <w:kern w:val="0"/>
                <w:sz w:val="20"/>
              </w:rPr>
            </w:pPr>
          </w:p>
        </w:tc>
        <w:tc>
          <w:tcPr>
            <w:tcW w:w="477"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517" w:type="dxa"/>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517"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856"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431"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40" w:hRule="atLeast"/>
        </w:trPr>
        <w:tc>
          <w:tcPr>
            <w:tcW w:w="8910" w:type="dxa"/>
            <w:gridSpan w:val="14"/>
            <w:tcBorders>
              <w:top w:val="nil"/>
              <w:left w:val="nil"/>
              <w:bottom w:val="nil"/>
              <w:right w:val="nil"/>
            </w:tcBorders>
            <w:shd w:val="clear" w:color="auto" w:fill="auto"/>
            <w:vAlign w:val="center"/>
          </w:tcPr>
          <w:p>
            <w:pPr>
              <w:widowControl/>
              <w:jc w:val="center"/>
              <w:rPr>
                <w:rFonts w:ascii="宋体" w:hAnsi="宋体" w:eastAsia="宋体" w:cs="宋体"/>
                <w:color w:val="000000"/>
                <w:kern w:val="0"/>
                <w:szCs w:val="32"/>
              </w:rPr>
            </w:pPr>
            <w:r>
              <w:rPr>
                <w:rFonts w:hint="eastAsia" w:ascii="宋体" w:hAnsi="宋体" w:eastAsia="宋体" w:cs="宋体"/>
                <w:b/>
                <w:bCs/>
                <w:color w:val="000000"/>
                <w:kern w:val="0"/>
                <w:szCs w:val="32"/>
              </w:rPr>
              <w:t>项目支出绩效自评表</w:t>
            </w:r>
            <w:r>
              <w:rPr>
                <w:rFonts w:hint="eastAsia" w:ascii="宋体" w:hAnsi="宋体" w:eastAsia="宋体" w:cs="宋体"/>
                <w:color w:val="000000"/>
                <w:kern w:val="0"/>
                <w:szCs w:val="32"/>
              </w:rPr>
              <w:t xml:space="preserve"> </w:t>
            </w:r>
          </w:p>
        </w:tc>
      </w:tr>
      <w:tr>
        <w:tblPrEx>
          <w:tblLayout w:type="fixed"/>
          <w:tblCellMar>
            <w:top w:w="0" w:type="dxa"/>
            <w:left w:w="108" w:type="dxa"/>
            <w:bottom w:w="0" w:type="dxa"/>
            <w:right w:w="108" w:type="dxa"/>
          </w:tblCellMar>
        </w:tblPrEx>
        <w:trPr>
          <w:trHeight w:val="360" w:hRule="atLeast"/>
        </w:trPr>
        <w:tc>
          <w:tcPr>
            <w:tcW w:w="8910" w:type="dxa"/>
            <w:gridSpan w:val="14"/>
            <w:tcBorders>
              <w:top w:val="nil"/>
              <w:left w:val="nil"/>
              <w:bottom w:val="single" w:color="auto" w:sz="4" w:space="0"/>
              <w:right w:val="nil"/>
            </w:tcBorders>
            <w:shd w:val="clear" w:color="auto" w:fill="auto"/>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（2021年度）</w:t>
            </w:r>
          </w:p>
        </w:tc>
      </w:tr>
      <w:tr>
        <w:tblPrEx>
          <w:tblLayout w:type="fixed"/>
          <w:tblCellMar>
            <w:top w:w="0" w:type="dxa"/>
            <w:left w:w="108" w:type="dxa"/>
            <w:bottom w:w="0" w:type="dxa"/>
            <w:right w:w="108" w:type="dxa"/>
          </w:tblCellMar>
        </w:tblPrEx>
        <w:trPr>
          <w:trHeight w:val="360" w:hRule="atLeast"/>
        </w:trPr>
        <w:tc>
          <w:tcPr>
            <w:tcW w:w="20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项目名称</w:t>
            </w:r>
          </w:p>
        </w:tc>
        <w:tc>
          <w:tcPr>
            <w:tcW w:w="6881"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市委市政府重点宣传等项目</w:t>
            </w:r>
          </w:p>
        </w:tc>
      </w:tr>
      <w:tr>
        <w:tblPrEx>
          <w:tblLayout w:type="fixed"/>
          <w:tblCellMar>
            <w:top w:w="0" w:type="dxa"/>
            <w:left w:w="108" w:type="dxa"/>
            <w:bottom w:w="0" w:type="dxa"/>
            <w:right w:w="108" w:type="dxa"/>
          </w:tblCellMar>
        </w:tblPrEx>
        <w:trPr>
          <w:trHeight w:val="300" w:hRule="atLeast"/>
        </w:trPr>
        <w:tc>
          <w:tcPr>
            <w:tcW w:w="20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主管部门</w:t>
            </w:r>
          </w:p>
        </w:tc>
        <w:tc>
          <w:tcPr>
            <w:tcW w:w="4083"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黄山市广播电视台</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实施单位</w:t>
            </w:r>
          </w:p>
        </w:tc>
        <w:tc>
          <w:tcPr>
            <w:tcW w:w="232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黄山市广播电视台</w:t>
            </w:r>
          </w:p>
        </w:tc>
      </w:tr>
      <w:tr>
        <w:tblPrEx>
          <w:tblLayout w:type="fixed"/>
          <w:tblCellMar>
            <w:top w:w="0" w:type="dxa"/>
            <w:left w:w="108" w:type="dxa"/>
            <w:bottom w:w="0" w:type="dxa"/>
            <w:right w:w="108" w:type="dxa"/>
          </w:tblCellMar>
        </w:tblPrEx>
        <w:trPr>
          <w:trHeight w:val="499" w:hRule="atLeast"/>
        </w:trPr>
        <w:tc>
          <w:tcPr>
            <w:tcW w:w="202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项目资金</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（万元）</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w:t>
            </w:r>
          </w:p>
        </w:tc>
        <w:tc>
          <w:tcPr>
            <w:tcW w:w="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年初预算数</w:t>
            </w:r>
          </w:p>
        </w:tc>
        <w:tc>
          <w:tcPr>
            <w:tcW w:w="2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全年预算数（A）</w:t>
            </w:r>
          </w:p>
        </w:tc>
        <w:tc>
          <w:tcPr>
            <w:tcW w:w="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全年执行数（B）</w:t>
            </w:r>
          </w:p>
        </w:tc>
        <w:tc>
          <w:tcPr>
            <w:tcW w:w="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分值</w:t>
            </w:r>
          </w:p>
        </w:tc>
        <w:tc>
          <w:tcPr>
            <w:tcW w:w="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执行率（B/A)</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得分</w:t>
            </w:r>
          </w:p>
        </w:tc>
      </w:tr>
      <w:tr>
        <w:tblPrEx>
          <w:tblLayout w:type="fixed"/>
          <w:tblCellMar>
            <w:top w:w="0" w:type="dxa"/>
            <w:left w:w="108" w:type="dxa"/>
            <w:bottom w:w="0" w:type="dxa"/>
            <w:right w:w="108" w:type="dxa"/>
          </w:tblCellMar>
        </w:tblPrEx>
        <w:trPr>
          <w:trHeight w:val="282" w:hRule="atLeast"/>
        </w:trPr>
        <w:tc>
          <w:tcPr>
            <w:tcW w:w="202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年度资金总额：</w:t>
            </w:r>
          </w:p>
        </w:tc>
        <w:tc>
          <w:tcPr>
            <w:tcW w:w="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213</w:t>
            </w:r>
          </w:p>
        </w:tc>
        <w:tc>
          <w:tcPr>
            <w:tcW w:w="2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213</w:t>
            </w:r>
          </w:p>
        </w:tc>
        <w:tc>
          <w:tcPr>
            <w:tcW w:w="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213</w:t>
            </w:r>
          </w:p>
        </w:tc>
        <w:tc>
          <w:tcPr>
            <w:tcW w:w="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100%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10</w:t>
            </w:r>
          </w:p>
        </w:tc>
      </w:tr>
      <w:tr>
        <w:tblPrEx>
          <w:tblLayout w:type="fixed"/>
          <w:tblCellMar>
            <w:top w:w="0" w:type="dxa"/>
            <w:left w:w="108" w:type="dxa"/>
            <w:bottom w:w="0" w:type="dxa"/>
            <w:right w:w="108" w:type="dxa"/>
          </w:tblCellMar>
        </w:tblPrEx>
        <w:trPr>
          <w:trHeight w:val="282" w:hRule="atLeast"/>
        </w:trPr>
        <w:tc>
          <w:tcPr>
            <w:tcW w:w="202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其中：本年财政拨款</w:t>
            </w:r>
          </w:p>
        </w:tc>
        <w:tc>
          <w:tcPr>
            <w:tcW w:w="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213</w:t>
            </w:r>
          </w:p>
        </w:tc>
        <w:tc>
          <w:tcPr>
            <w:tcW w:w="2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213</w:t>
            </w:r>
          </w:p>
        </w:tc>
        <w:tc>
          <w:tcPr>
            <w:tcW w:w="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213</w:t>
            </w:r>
          </w:p>
        </w:tc>
        <w:tc>
          <w:tcPr>
            <w:tcW w:w="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w:t>
            </w:r>
          </w:p>
        </w:tc>
        <w:tc>
          <w:tcPr>
            <w:tcW w:w="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100%</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w:t>
            </w:r>
          </w:p>
        </w:tc>
      </w:tr>
      <w:tr>
        <w:tblPrEx>
          <w:tblLayout w:type="fixed"/>
          <w:tblCellMar>
            <w:top w:w="0" w:type="dxa"/>
            <w:left w:w="108" w:type="dxa"/>
            <w:bottom w:w="0" w:type="dxa"/>
            <w:right w:w="108" w:type="dxa"/>
          </w:tblCellMar>
        </w:tblPrEx>
        <w:trPr>
          <w:trHeight w:val="282" w:hRule="atLeast"/>
        </w:trPr>
        <w:tc>
          <w:tcPr>
            <w:tcW w:w="202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xml:space="preserve">    上年结转资金</w:t>
            </w:r>
          </w:p>
        </w:tc>
        <w:tc>
          <w:tcPr>
            <w:tcW w:w="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2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9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w:t>
            </w:r>
          </w:p>
        </w:tc>
        <w:tc>
          <w:tcPr>
            <w:tcW w:w="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w:t>
            </w:r>
          </w:p>
        </w:tc>
      </w:tr>
      <w:tr>
        <w:tblPrEx>
          <w:tblLayout w:type="fixed"/>
          <w:tblCellMar>
            <w:top w:w="0" w:type="dxa"/>
            <w:left w:w="108" w:type="dxa"/>
            <w:bottom w:w="0" w:type="dxa"/>
            <w:right w:w="108" w:type="dxa"/>
          </w:tblCellMar>
        </w:tblPrEx>
        <w:trPr>
          <w:trHeight w:val="282" w:hRule="atLeast"/>
        </w:trPr>
        <w:tc>
          <w:tcPr>
            <w:tcW w:w="202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       其他资金</w:t>
            </w:r>
          </w:p>
        </w:tc>
        <w:tc>
          <w:tcPr>
            <w:tcW w:w="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2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4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w:t>
            </w:r>
          </w:p>
        </w:tc>
      </w:tr>
      <w:tr>
        <w:tblPrEx>
          <w:tblLayout w:type="fixed"/>
          <w:tblCellMar>
            <w:top w:w="0" w:type="dxa"/>
            <w:left w:w="108" w:type="dxa"/>
            <w:bottom w:w="0" w:type="dxa"/>
            <w:right w:w="108" w:type="dxa"/>
          </w:tblCellMar>
        </w:tblPrEx>
        <w:trPr>
          <w:trHeight w:val="282" w:hRule="atLeast"/>
        </w:trPr>
        <w:tc>
          <w:tcPr>
            <w:tcW w:w="88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年度总体目标完成情况</w:t>
            </w:r>
          </w:p>
        </w:tc>
        <w:tc>
          <w:tcPr>
            <w:tcW w:w="522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预期目标</w:t>
            </w:r>
          </w:p>
        </w:tc>
        <w:tc>
          <w:tcPr>
            <w:tcW w:w="279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实际完成情况</w:t>
            </w:r>
          </w:p>
        </w:tc>
      </w:tr>
      <w:tr>
        <w:tblPrEx>
          <w:tblLayout w:type="fixed"/>
          <w:tblCellMar>
            <w:top w:w="0" w:type="dxa"/>
            <w:left w:w="108" w:type="dxa"/>
            <w:bottom w:w="0" w:type="dxa"/>
            <w:right w:w="108" w:type="dxa"/>
          </w:tblCellMar>
        </w:tblPrEx>
        <w:trPr>
          <w:trHeight w:val="1230" w:hRule="atLeast"/>
        </w:trPr>
        <w:tc>
          <w:tcPr>
            <w:tcW w:w="88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rPr>
            </w:pPr>
          </w:p>
        </w:tc>
        <w:tc>
          <w:tcPr>
            <w:tcW w:w="5227" w:type="dxa"/>
            <w:gridSpan w:val="6"/>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1、宣传黄山。2、保障日常办公正常运转。3、做好广播电视节目安全播出和技术保障工作，加快科技创新和改革步伐，努力提升广播电视的科技含量和播出水平，确保播出安全。4、确保广播电视网络微波信号安全优质传输。5、做好市委市政府重点宣传等工作。6、做好发射机房播控机房运行维护工作。7、做好对外宣传工作。8、做好广播电视的栏目建设。9、做好“政风行风市民热线”“民生热线”“访谈”“手语”栏目的宣传工作、评议工作和平台网上回复等工作。10、履行部门职责。11、加强机关党建、文明创建、目标绩效考核、党风廉政建设和效能建设等。</w:t>
            </w:r>
          </w:p>
        </w:tc>
        <w:tc>
          <w:tcPr>
            <w:tcW w:w="2798"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r>
      <w:tr>
        <w:tblPrEx>
          <w:tblLayout w:type="fixed"/>
          <w:tblCellMar>
            <w:top w:w="0" w:type="dxa"/>
            <w:left w:w="108" w:type="dxa"/>
            <w:bottom w:w="0" w:type="dxa"/>
            <w:right w:w="108" w:type="dxa"/>
          </w:tblCellMar>
        </w:tblPrEx>
        <w:trPr>
          <w:trHeight w:val="522" w:hRule="atLeast"/>
        </w:trPr>
        <w:tc>
          <w:tcPr>
            <w:tcW w:w="885"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年度绩效指标完成情况</w:t>
            </w:r>
          </w:p>
        </w:tc>
        <w:tc>
          <w:tcPr>
            <w:tcW w:w="6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一级</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指标</w:t>
            </w:r>
          </w:p>
        </w:tc>
        <w:tc>
          <w:tcPr>
            <w:tcW w:w="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二级指标</w:t>
            </w: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三级指标</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年度指标值</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实际完成值</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分值</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得分</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偏差原因分析及改进措施</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rPr>
            </w:pPr>
            <w:r>
              <w:rPr>
                <w:rFonts w:hint="eastAsia" w:ascii="宋体" w:hAnsi="宋体" w:eastAsia="宋体" w:cs="宋体"/>
                <w:kern w:val="0"/>
                <w:sz w:val="20"/>
              </w:rPr>
              <w:t>产</w:t>
            </w:r>
            <w:r>
              <w:rPr>
                <w:rFonts w:hint="eastAsia" w:ascii="宋体" w:hAnsi="宋体" w:eastAsia="宋体" w:cs="宋体"/>
                <w:kern w:val="0"/>
                <w:sz w:val="20"/>
              </w:rPr>
              <w:br w:type="textWrapping"/>
            </w:r>
            <w:r>
              <w:rPr>
                <w:rFonts w:hint="eastAsia" w:ascii="宋体" w:hAnsi="宋体" w:eastAsia="宋体" w:cs="宋体"/>
                <w:kern w:val="0"/>
                <w:sz w:val="20"/>
              </w:rPr>
              <w:t>出</w:t>
            </w:r>
            <w:r>
              <w:rPr>
                <w:rFonts w:hint="eastAsia" w:ascii="宋体" w:hAnsi="宋体" w:eastAsia="宋体" w:cs="宋体"/>
                <w:kern w:val="0"/>
                <w:sz w:val="20"/>
              </w:rPr>
              <w:br w:type="textWrapping"/>
            </w:r>
            <w:r>
              <w:rPr>
                <w:rFonts w:hint="eastAsia" w:ascii="宋体" w:hAnsi="宋体" w:eastAsia="宋体" w:cs="宋体"/>
                <w:kern w:val="0"/>
                <w:sz w:val="20"/>
              </w:rPr>
              <w:t>指</w:t>
            </w:r>
            <w:r>
              <w:rPr>
                <w:rFonts w:hint="eastAsia" w:ascii="宋体" w:hAnsi="宋体" w:eastAsia="宋体" w:cs="宋体"/>
                <w:kern w:val="0"/>
                <w:sz w:val="20"/>
              </w:rPr>
              <w:br w:type="textWrapping"/>
            </w:r>
            <w:r>
              <w:rPr>
                <w:rFonts w:hint="eastAsia" w:ascii="宋体" w:hAnsi="宋体" w:eastAsia="宋体" w:cs="宋体"/>
                <w:kern w:val="0"/>
                <w:sz w:val="20"/>
              </w:rPr>
              <w:t>标</w:t>
            </w:r>
            <w:r>
              <w:rPr>
                <w:rFonts w:hint="eastAsia" w:ascii="宋体" w:hAnsi="宋体" w:eastAsia="宋体" w:cs="宋体"/>
                <w:kern w:val="0"/>
                <w:sz w:val="20"/>
              </w:rPr>
              <w:br w:type="textWrapping"/>
            </w:r>
            <w:r>
              <w:rPr>
                <w:rFonts w:hint="eastAsia" w:ascii="宋体" w:hAnsi="宋体" w:eastAsia="宋体" w:cs="宋体"/>
                <w:kern w:val="0"/>
                <w:sz w:val="20"/>
              </w:rPr>
              <w:t>(50分)</w:t>
            </w:r>
          </w:p>
        </w:tc>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rPr>
            </w:pPr>
            <w:r>
              <w:rPr>
                <w:rFonts w:hint="eastAsia" w:ascii="宋体" w:hAnsi="宋体" w:eastAsia="宋体" w:cs="宋体"/>
                <w:kern w:val="0"/>
                <w:sz w:val="20"/>
              </w:rPr>
              <w:t>数量指标</w:t>
            </w: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指标1：确保播出安全</w:t>
            </w:r>
          </w:p>
        </w:tc>
        <w:tc>
          <w:tcPr>
            <w:tcW w:w="2319"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保障日常办公正常运转</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指标2：宣传黄山</w:t>
            </w:r>
          </w:p>
        </w:tc>
        <w:tc>
          <w:tcPr>
            <w:tcW w:w="2319"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关注民生，服务百姓</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指标3：做好市委市政府重点宣传等工作</w:t>
            </w:r>
          </w:p>
        </w:tc>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对外宣传210条</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4</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4</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435"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指标4：频道时政类新闻宣传</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新闻综合频道《黄山新闻联播》发稿≥2500条；</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指标5：全年的广播电视节目播出</w:t>
            </w:r>
          </w:p>
        </w:tc>
        <w:tc>
          <w:tcPr>
            <w:tcW w:w="23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每年播出12045小时</w:t>
            </w:r>
          </w:p>
        </w:tc>
        <w:tc>
          <w:tcPr>
            <w:tcW w:w="4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指标6：广播电视节目信号微波传输工作</w:t>
            </w:r>
          </w:p>
        </w:tc>
        <w:tc>
          <w:tcPr>
            <w:tcW w:w="23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确保信号安全优质传输</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指标7：广告创收缴纳税金</w:t>
            </w:r>
          </w:p>
        </w:tc>
        <w:tc>
          <w:tcPr>
            <w:tcW w:w="23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税率按照国家税法规定执行</w:t>
            </w:r>
          </w:p>
        </w:tc>
        <w:tc>
          <w:tcPr>
            <w:tcW w:w="4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指标8：连线平台、公共平台的维护和管理</w:t>
            </w:r>
          </w:p>
        </w:tc>
        <w:tc>
          <w:tcPr>
            <w:tcW w:w="23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行风政风、民生热线的连线</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指标9：扩大覆盖范围</w:t>
            </w:r>
          </w:p>
        </w:tc>
        <w:tc>
          <w:tcPr>
            <w:tcW w:w="23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沟通政府和民众</w:t>
            </w:r>
          </w:p>
        </w:tc>
        <w:tc>
          <w:tcPr>
            <w:tcW w:w="4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45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指标10：计划在央视、安徽卫视及新媒体播发稿数量</w:t>
            </w:r>
          </w:p>
        </w:tc>
        <w:tc>
          <w:tcPr>
            <w:tcW w:w="23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新闻稿件自采自编率≥100%、区县采访覆盖率≥85%、新闻稿件首发率≥80%</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指标11：热线类栏目宣传</w:t>
            </w:r>
          </w:p>
        </w:tc>
        <w:tc>
          <w:tcPr>
            <w:tcW w:w="231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《市民热线》≥4500件；《政风行风热线》播出≥220期；《民生热线》播发新闻报道≥3800条、市民连线平台群众来电来信来访≥4000件</w:t>
            </w:r>
          </w:p>
        </w:tc>
        <w:tc>
          <w:tcPr>
            <w:tcW w:w="4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5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rPr>
            </w:pPr>
            <w:r>
              <w:rPr>
                <w:rFonts w:hint="eastAsia" w:ascii="宋体" w:hAnsi="宋体" w:eastAsia="宋体" w:cs="宋体"/>
                <w:kern w:val="0"/>
                <w:sz w:val="20"/>
              </w:rPr>
              <w:t>质量指标</w:t>
            </w: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指标1：计划在广播电视台开辟专栏期数</w:t>
            </w:r>
          </w:p>
        </w:tc>
        <w:tc>
          <w:tcPr>
            <w:tcW w:w="23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《家园》栏目摄制播出专题片≥50个；《娃娃乐》播出系列≥50期；《平安黄山》和《健康故事》专题栏目播出≥50期</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指标2：经费支出合规性</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严格执行相关财经法规、制度</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指标3：制作纪录片、宣传片、公益广告、微视频质量达标率</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≥95%</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rPr>
            </w:pPr>
            <w:r>
              <w:rPr>
                <w:rFonts w:hint="eastAsia" w:ascii="宋体" w:hAnsi="宋体" w:eastAsia="宋体" w:cs="宋体"/>
                <w:kern w:val="0"/>
                <w:sz w:val="20"/>
              </w:rPr>
              <w:t>时效指标</w:t>
            </w: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指标1：按年度计划任务完成</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提高工作效率，保证工作成果</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指标2：经费支出时效性</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一年</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rPr>
            </w:pPr>
            <w:r>
              <w:rPr>
                <w:rFonts w:hint="eastAsia" w:ascii="宋体" w:hAnsi="宋体" w:eastAsia="宋体" w:cs="宋体"/>
                <w:kern w:val="0"/>
                <w:sz w:val="20"/>
              </w:rPr>
              <w:t>成本指标</w:t>
            </w: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指标1：保障日常办公正常运转</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预算1711.38万元</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指标2：市委市政府重点宣传等工作</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预算100万元</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指标3：发射机房运行维护费</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预算49万元</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指标4：专题片制作以及业务考察费</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预算10万元</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指标5：采访、购置节目等办公费用</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预算60万元</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指标6：广告创收缴纳税金</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预算20万元</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指标7：光纤通信费</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预算7万元</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指标8：业务档案数据化费用</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预算1万元</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rPr>
            </w:pPr>
            <w:r>
              <w:rPr>
                <w:rFonts w:hint="eastAsia" w:ascii="宋体" w:hAnsi="宋体" w:eastAsia="宋体" w:cs="宋体"/>
                <w:kern w:val="0"/>
                <w:sz w:val="20"/>
              </w:rPr>
              <w:t>效</w:t>
            </w:r>
            <w:r>
              <w:rPr>
                <w:rFonts w:hint="eastAsia" w:ascii="宋体" w:hAnsi="宋体" w:eastAsia="宋体" w:cs="宋体"/>
                <w:kern w:val="0"/>
                <w:sz w:val="20"/>
              </w:rPr>
              <w:br w:type="textWrapping"/>
            </w:r>
            <w:r>
              <w:rPr>
                <w:rFonts w:hint="eastAsia" w:ascii="宋体" w:hAnsi="宋体" w:eastAsia="宋体" w:cs="宋体"/>
                <w:kern w:val="0"/>
                <w:sz w:val="20"/>
              </w:rPr>
              <w:t>益</w:t>
            </w:r>
            <w:r>
              <w:rPr>
                <w:rFonts w:hint="eastAsia" w:ascii="宋体" w:hAnsi="宋体" w:eastAsia="宋体" w:cs="宋体"/>
                <w:kern w:val="0"/>
                <w:sz w:val="20"/>
              </w:rPr>
              <w:br w:type="textWrapping"/>
            </w:r>
            <w:r>
              <w:rPr>
                <w:rFonts w:hint="eastAsia" w:ascii="宋体" w:hAnsi="宋体" w:eastAsia="宋体" w:cs="宋体"/>
                <w:kern w:val="0"/>
                <w:sz w:val="20"/>
              </w:rPr>
              <w:t>指</w:t>
            </w:r>
            <w:r>
              <w:rPr>
                <w:rFonts w:hint="eastAsia" w:ascii="宋体" w:hAnsi="宋体" w:eastAsia="宋体" w:cs="宋体"/>
                <w:kern w:val="0"/>
                <w:sz w:val="20"/>
              </w:rPr>
              <w:br w:type="textWrapping"/>
            </w:r>
            <w:r>
              <w:rPr>
                <w:rFonts w:hint="eastAsia" w:ascii="宋体" w:hAnsi="宋体" w:eastAsia="宋体" w:cs="宋体"/>
                <w:kern w:val="0"/>
                <w:sz w:val="20"/>
              </w:rPr>
              <w:t>标</w:t>
            </w:r>
            <w:r>
              <w:rPr>
                <w:rFonts w:hint="eastAsia" w:ascii="宋体" w:hAnsi="宋体" w:eastAsia="宋体" w:cs="宋体"/>
                <w:kern w:val="0"/>
                <w:sz w:val="20"/>
              </w:rPr>
              <w:br w:type="textWrapping"/>
            </w:r>
            <w:r>
              <w:rPr>
                <w:rFonts w:hint="eastAsia" w:ascii="宋体" w:hAnsi="宋体" w:eastAsia="宋体" w:cs="宋体"/>
                <w:kern w:val="0"/>
                <w:sz w:val="20"/>
              </w:rPr>
              <w:t>(30分)</w:t>
            </w:r>
          </w:p>
        </w:tc>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rPr>
            </w:pPr>
            <w:r>
              <w:rPr>
                <w:rFonts w:hint="eastAsia" w:ascii="宋体" w:hAnsi="宋体" w:eastAsia="宋体" w:cs="宋体"/>
                <w:kern w:val="0"/>
                <w:sz w:val="20"/>
              </w:rPr>
              <w:t>经济效益</w:t>
            </w:r>
            <w:r>
              <w:rPr>
                <w:rFonts w:hint="eastAsia" w:ascii="宋体" w:hAnsi="宋体" w:eastAsia="宋体" w:cs="宋体"/>
                <w:kern w:val="0"/>
                <w:sz w:val="20"/>
              </w:rPr>
              <w:br w:type="textWrapping"/>
            </w:r>
            <w:r>
              <w:rPr>
                <w:rFonts w:hint="eastAsia" w:ascii="宋体" w:hAnsi="宋体" w:eastAsia="宋体" w:cs="宋体"/>
                <w:kern w:val="0"/>
                <w:sz w:val="20"/>
              </w:rPr>
              <w:t>指标</w:t>
            </w: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指标1：优化广告创收能力</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为民排忧解难</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指标2：</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rPr>
            </w:pPr>
            <w:r>
              <w:rPr>
                <w:rFonts w:hint="eastAsia" w:ascii="宋体" w:hAnsi="宋体" w:eastAsia="宋体" w:cs="宋体"/>
                <w:kern w:val="0"/>
                <w:sz w:val="20"/>
              </w:rPr>
              <w:t>社会效益</w:t>
            </w:r>
            <w:r>
              <w:rPr>
                <w:rFonts w:hint="eastAsia" w:ascii="宋体" w:hAnsi="宋体" w:eastAsia="宋体" w:cs="宋体"/>
                <w:kern w:val="0"/>
                <w:sz w:val="20"/>
              </w:rPr>
              <w:br w:type="textWrapping"/>
            </w:r>
            <w:r>
              <w:rPr>
                <w:rFonts w:hint="eastAsia" w:ascii="宋体" w:hAnsi="宋体" w:eastAsia="宋体" w:cs="宋体"/>
                <w:kern w:val="0"/>
                <w:sz w:val="20"/>
              </w:rPr>
              <w:t>指标</w:t>
            </w: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指标1：办好《黄山新闻》栏目</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及时、准确的宣传好党和政府的声音</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指标2：通过“政风行风热线”“民生热线”栏目</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为百姓排忧解难</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465"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指标3：开办优质广播电视栏目丰富广大人民群众文化生活</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丰富广大人民群众文化生活</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5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指标4：做好外宣工作</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为对外扩大宣传黄山，提高黄山知名度。</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45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指标5：确保广播电视网络微波信号安全优质传输</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实现广播电视网络微波信号安全优质</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435"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xml:space="preserve">指标6：为民排忧解难、提高经济创收效益、信息交流无障碍 </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提高广大电视观众满意度。</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5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指标7：加强网络电视台平台建设</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提高网络覆盖</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465"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指标8：加强对区县广电台的业务指导、信息交流无障碍</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提高黄山市广播电视的整体宣传水平</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5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指标9：安全优质播出</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提供优质的广播电视信号源</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5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指标10：保障日常办公正常运转</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日常工作正常运转</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指标11：倡导无纸化办公</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能够节能环保</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5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指标12：改善办公条件、保障人员安全</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提高工作效率</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435"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rPr>
            </w:pPr>
            <w:r>
              <w:rPr>
                <w:rFonts w:hint="eastAsia" w:ascii="宋体" w:hAnsi="宋体" w:eastAsia="宋体" w:cs="宋体"/>
                <w:kern w:val="0"/>
                <w:sz w:val="20"/>
              </w:rPr>
              <w:t>生态效益</w:t>
            </w:r>
            <w:r>
              <w:rPr>
                <w:rFonts w:hint="eastAsia" w:ascii="宋体" w:hAnsi="宋体" w:eastAsia="宋体" w:cs="宋体"/>
                <w:kern w:val="0"/>
                <w:sz w:val="20"/>
              </w:rPr>
              <w:br w:type="textWrapping"/>
            </w:r>
            <w:r>
              <w:rPr>
                <w:rFonts w:hint="eastAsia" w:ascii="宋体" w:hAnsi="宋体" w:eastAsia="宋体" w:cs="宋体"/>
                <w:kern w:val="0"/>
                <w:sz w:val="20"/>
              </w:rPr>
              <w:t>指标</w:t>
            </w: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指标1：微波信号采用点对点无线传输，无辐射，不破坏自然环境</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rPr>
            </w:pPr>
            <w:r>
              <w:rPr>
                <w:rFonts w:hint="eastAsia" w:ascii="宋体" w:hAnsi="宋体" w:eastAsia="宋体" w:cs="宋体"/>
                <w:kern w:val="0"/>
                <w:sz w:val="20"/>
              </w:rPr>
              <w:t>正确舆论导向，传播科普知识，提供健康向上精品节目，丰富人民群众精神文化生活</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指标2：</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w:t>
            </w:r>
          </w:p>
        </w:tc>
        <w:tc>
          <w:tcPr>
            <w:tcW w:w="4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45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rPr>
            </w:pPr>
            <w:r>
              <w:rPr>
                <w:rFonts w:hint="eastAsia" w:ascii="宋体" w:hAnsi="宋体" w:eastAsia="宋体" w:cs="宋体"/>
                <w:kern w:val="0"/>
                <w:sz w:val="20"/>
              </w:rPr>
              <w:t>可持续影</w:t>
            </w:r>
            <w:r>
              <w:rPr>
                <w:rFonts w:hint="eastAsia" w:ascii="宋体" w:hAnsi="宋体" w:eastAsia="宋体" w:cs="宋体"/>
                <w:kern w:val="0"/>
                <w:sz w:val="20"/>
              </w:rPr>
              <w:br w:type="textWrapping"/>
            </w:r>
            <w:r>
              <w:rPr>
                <w:rFonts w:hint="eastAsia" w:ascii="宋体" w:hAnsi="宋体" w:eastAsia="宋体" w:cs="宋体"/>
                <w:kern w:val="0"/>
                <w:sz w:val="20"/>
              </w:rPr>
              <w:t>响指标</w:t>
            </w: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指标1：带动社会事业提供长期的舆论保障；对单位履职，促进事业发展的可持续影响</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较高</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指标2：</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w:t>
            </w:r>
          </w:p>
        </w:tc>
        <w:tc>
          <w:tcPr>
            <w:tcW w:w="4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51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rPr>
            </w:pPr>
            <w:r>
              <w:rPr>
                <w:rFonts w:hint="eastAsia" w:ascii="宋体" w:hAnsi="宋体" w:eastAsia="宋体" w:cs="宋体"/>
                <w:kern w:val="0"/>
                <w:sz w:val="20"/>
              </w:rPr>
              <w:t>满意度指标</w:t>
            </w:r>
            <w:r>
              <w:rPr>
                <w:rFonts w:hint="eastAsia" w:ascii="宋体" w:hAnsi="宋体" w:eastAsia="宋体" w:cs="宋体"/>
                <w:kern w:val="0"/>
                <w:sz w:val="20"/>
              </w:rPr>
              <w:br w:type="textWrapping"/>
            </w:r>
            <w:r>
              <w:rPr>
                <w:rFonts w:hint="eastAsia" w:ascii="宋体" w:hAnsi="宋体" w:eastAsia="宋体" w:cs="宋体"/>
                <w:kern w:val="0"/>
                <w:sz w:val="20"/>
              </w:rPr>
              <w:t>(10分)</w:t>
            </w:r>
          </w:p>
        </w:tc>
        <w:tc>
          <w:tcPr>
            <w:tcW w:w="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rPr>
            </w:pPr>
            <w:r>
              <w:rPr>
                <w:rFonts w:hint="eastAsia" w:ascii="宋体" w:hAnsi="宋体" w:eastAsia="宋体" w:cs="宋体"/>
                <w:kern w:val="0"/>
                <w:sz w:val="20"/>
              </w:rPr>
              <w:t>服务对象</w:t>
            </w:r>
            <w:r>
              <w:rPr>
                <w:rFonts w:hint="eastAsia" w:ascii="宋体" w:hAnsi="宋体" w:eastAsia="宋体" w:cs="宋体"/>
                <w:kern w:val="0"/>
                <w:sz w:val="20"/>
              </w:rPr>
              <w:br w:type="textWrapping"/>
            </w:r>
            <w:r>
              <w:rPr>
                <w:rFonts w:hint="eastAsia" w:ascii="宋体" w:hAnsi="宋体" w:eastAsia="宋体" w:cs="宋体"/>
                <w:kern w:val="0"/>
                <w:sz w:val="20"/>
              </w:rPr>
              <w:t>满意度指标</w:t>
            </w: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指标1：服务对象、广大人民群众、市政府目标考核满意度</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满意</w:t>
            </w: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达成预期指标</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指标2：</w:t>
            </w:r>
          </w:p>
        </w:tc>
        <w:tc>
          <w:tcPr>
            <w:tcW w:w="23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w:t>
            </w:r>
          </w:p>
        </w:tc>
        <w:tc>
          <w:tcPr>
            <w:tcW w:w="4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rPr>
            </w:pPr>
            <w:r>
              <w:rPr>
                <w:rFonts w:hint="eastAsia" w:ascii="宋体" w:hAnsi="宋体" w:eastAsia="宋体" w:cs="宋体"/>
                <w:color w:val="000000"/>
                <w:kern w:val="0"/>
                <w:sz w:val="20"/>
              </w:rPr>
              <w:t>　</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Layout w:type="fixed"/>
          <w:tblCellMar>
            <w:top w:w="0" w:type="dxa"/>
            <w:left w:w="108" w:type="dxa"/>
            <w:bottom w:w="0" w:type="dxa"/>
            <w:right w:w="108" w:type="dxa"/>
          </w:tblCellMar>
        </w:tblPrEx>
        <w:trPr>
          <w:trHeight w:val="300" w:hRule="atLeast"/>
        </w:trPr>
        <w:tc>
          <w:tcPr>
            <w:tcW w:w="379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rPr>
            </w:pPr>
            <w:r>
              <w:rPr>
                <w:rFonts w:hint="eastAsia" w:ascii="宋体" w:hAnsi="宋体" w:eastAsia="宋体" w:cs="宋体"/>
                <w:b/>
                <w:bCs/>
                <w:color w:val="000000"/>
                <w:kern w:val="0"/>
                <w:sz w:val="20"/>
              </w:rPr>
              <w:t>总分</w:t>
            </w:r>
          </w:p>
        </w:tc>
        <w:tc>
          <w:tcPr>
            <w:tcW w:w="2319"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eastAsia="宋体" w:cs="宋体"/>
                <w:color w:val="000000"/>
                <w:kern w:val="0"/>
                <w:sz w:val="20"/>
              </w:rPr>
            </w:pPr>
          </w:p>
        </w:tc>
        <w:tc>
          <w:tcPr>
            <w:tcW w:w="4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rPr>
            </w:pPr>
            <w:r>
              <w:rPr>
                <w:rFonts w:hint="eastAsia" w:ascii="宋体" w:hAnsi="宋体" w:eastAsia="宋体" w:cs="宋体"/>
                <w:b/>
                <w:bCs/>
                <w:color w:val="000000"/>
                <w:kern w:val="0"/>
                <w:sz w:val="20"/>
              </w:rPr>
              <w:t>　</w:t>
            </w:r>
          </w:p>
        </w:tc>
        <w:tc>
          <w:tcPr>
            <w:tcW w:w="9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100</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18"/>
                <w:szCs w:val="18"/>
              </w:rPr>
            </w:pPr>
            <w:r>
              <w:rPr>
                <w:rFonts w:hint="eastAsia" w:ascii="宋体" w:hAnsi="宋体" w:eastAsia="宋体" w:cs="宋体"/>
                <w:b/>
                <w:bCs/>
                <w:color w:val="000000"/>
                <w:kern w:val="0"/>
                <w:sz w:val="18"/>
                <w:szCs w:val="18"/>
              </w:rPr>
              <w:t>100</w:t>
            </w:r>
          </w:p>
        </w:tc>
        <w:tc>
          <w:tcPr>
            <w:tcW w:w="5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　</w:t>
            </w:r>
          </w:p>
        </w:tc>
      </w:tr>
    </w:tbl>
    <w:p>
      <w:pPr>
        <w:spacing w:line="560" w:lineRule="exact"/>
        <w:rPr>
          <w:rFonts w:ascii="仿宋_GB2312" w:hAnsi="仿宋_GB2312" w:cs="仿宋_GB2312"/>
          <w:szCs w:val="32"/>
        </w:rPr>
      </w:pPr>
    </w:p>
    <w:p>
      <w:pPr>
        <w:adjustRightInd w:val="0"/>
        <w:snapToGrid w:val="0"/>
        <w:spacing w:line="600" w:lineRule="exact"/>
        <w:ind w:firstLine="628" w:firstLineChars="200"/>
        <w:rPr>
          <w:rFonts w:ascii="黑体" w:hAnsi="黑体" w:eastAsia="黑体"/>
          <w:szCs w:val="32"/>
        </w:rPr>
      </w:pPr>
      <w:r>
        <w:rPr>
          <w:rFonts w:hint="eastAsia" w:ascii="黑体" w:hAnsi="黑体" w:eastAsia="黑体"/>
          <w:szCs w:val="32"/>
        </w:rPr>
        <w:t>第四部分 名词解释</w:t>
      </w:r>
    </w:p>
    <w:p>
      <w:pPr>
        <w:adjustRightInd w:val="0"/>
        <w:snapToGrid w:val="0"/>
        <w:spacing w:line="600" w:lineRule="exact"/>
        <w:ind w:left="425" w:firstLine="201" w:firstLineChars="64"/>
        <w:rPr>
          <w:rFonts w:ascii="仿宋_GB2312" w:hAnsi="仿宋"/>
          <w:szCs w:val="32"/>
        </w:rPr>
      </w:pPr>
      <w:r>
        <w:rPr>
          <w:rFonts w:hint="eastAsia" w:ascii="仿宋_GB2312" w:hAnsi="仿宋"/>
          <w:b/>
          <w:szCs w:val="32"/>
        </w:rPr>
        <w:t>一、财政拨款收入：</w:t>
      </w:r>
      <w:r>
        <w:rPr>
          <w:rFonts w:hint="eastAsia" w:ascii="仿宋_GB2312" w:hAnsi="仿宋"/>
          <w:szCs w:val="32"/>
        </w:rPr>
        <w:t>指单位从同级财政单位取得的财政预算资金。</w:t>
      </w:r>
    </w:p>
    <w:p>
      <w:pPr>
        <w:adjustRightInd w:val="0"/>
        <w:snapToGrid w:val="0"/>
        <w:spacing w:line="600" w:lineRule="exact"/>
        <w:ind w:left="425" w:firstLine="201" w:firstLineChars="64"/>
        <w:rPr>
          <w:rFonts w:ascii="仿宋_GB2312" w:hAnsi="仿宋"/>
          <w:szCs w:val="32"/>
        </w:rPr>
      </w:pPr>
      <w:r>
        <w:rPr>
          <w:rFonts w:hint="eastAsia" w:ascii="仿宋_GB2312" w:hAnsi="黑体"/>
          <w:b/>
          <w:bCs/>
          <w:szCs w:val="32"/>
        </w:rPr>
        <w:t>二、</w:t>
      </w:r>
      <w:r>
        <w:rPr>
          <w:rFonts w:hint="eastAsia" w:ascii="仿宋_GB2312" w:hAnsi="仿宋"/>
          <w:b/>
          <w:bCs/>
          <w:szCs w:val="32"/>
        </w:rPr>
        <w:t>事业收入：</w:t>
      </w:r>
      <w:r>
        <w:rPr>
          <w:rFonts w:hint="eastAsia" w:ascii="仿宋_GB2312" w:hAnsi="仿宋"/>
          <w:szCs w:val="32"/>
        </w:rPr>
        <w:t>指事业单位开展专业业务活动及辅助活动所取得的收入。</w:t>
      </w:r>
    </w:p>
    <w:p>
      <w:pPr>
        <w:adjustRightInd w:val="0"/>
        <w:snapToGrid w:val="0"/>
        <w:spacing w:line="600" w:lineRule="exact"/>
        <w:ind w:left="425" w:firstLine="201" w:firstLineChars="64"/>
        <w:rPr>
          <w:rFonts w:ascii="仿宋_GB2312" w:hAnsi="黑体"/>
          <w:b/>
          <w:bCs/>
          <w:szCs w:val="32"/>
        </w:rPr>
      </w:pPr>
      <w:r>
        <w:rPr>
          <w:rFonts w:hint="eastAsia" w:ascii="仿宋_GB2312" w:hAnsi="黑体"/>
          <w:b/>
          <w:bCs/>
          <w:szCs w:val="32"/>
        </w:rPr>
        <w:t>三、上级补助收入：</w:t>
      </w:r>
      <w:r>
        <w:rPr>
          <w:rFonts w:hint="eastAsia" w:ascii="仿宋_GB2312" w:hAnsi="黑体"/>
          <w:bCs/>
          <w:szCs w:val="32"/>
        </w:rPr>
        <w:t>指</w:t>
      </w:r>
      <w:r>
        <w:rPr>
          <w:rFonts w:hint="eastAsia" w:ascii="仿宋_GB2312" w:hAnsi="仿宋"/>
          <w:szCs w:val="32"/>
        </w:rPr>
        <w:t>事业单位从主管单位和上级单位取得的非财政补助收入。</w:t>
      </w:r>
    </w:p>
    <w:p>
      <w:pPr>
        <w:pStyle w:val="5"/>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pPr>
        <w:pStyle w:val="5"/>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pPr>
        <w:adjustRightInd w:val="0"/>
        <w:snapToGrid w:val="0"/>
        <w:spacing w:line="600" w:lineRule="exact"/>
        <w:rPr>
          <w:rFonts w:ascii="仿宋_GB2312" w:hAnsi="仿宋"/>
          <w:szCs w:val="32"/>
        </w:rPr>
      </w:pPr>
      <w:r>
        <w:rPr>
          <w:rFonts w:hint="eastAsia" w:ascii="仿宋_GB2312" w:hAnsi="黑体"/>
          <w:b/>
          <w:szCs w:val="32"/>
        </w:rPr>
        <w:t xml:space="preserve">    六、</w:t>
      </w:r>
      <w:r>
        <w:rPr>
          <w:rFonts w:hint="eastAsia" w:ascii="仿宋_GB2312" w:hAnsi="黑体"/>
          <w:b/>
          <w:bCs/>
          <w:szCs w:val="32"/>
        </w:rPr>
        <w:t>其他收入：</w:t>
      </w:r>
      <w:r>
        <w:rPr>
          <w:rFonts w:hint="eastAsia" w:ascii="仿宋_GB2312" w:hAnsi="黑体"/>
          <w:bCs/>
          <w:szCs w:val="32"/>
        </w:rPr>
        <w:t>指除财政拨款收入、事业收入、上级补助收入、附属单位上缴收入、经营收入以外的各项收</w:t>
      </w:r>
      <w:r>
        <w:rPr>
          <w:rFonts w:hint="eastAsia" w:ascii="仿宋_GB2312" w:hAnsi="仿宋"/>
          <w:szCs w:val="32"/>
        </w:rPr>
        <w:t>入。</w:t>
      </w:r>
    </w:p>
    <w:p>
      <w:pPr>
        <w:adjustRightInd w:val="0"/>
        <w:snapToGrid w:val="0"/>
        <w:spacing w:line="600" w:lineRule="exact"/>
        <w:rPr>
          <w:rFonts w:ascii="仿宋_GB2312" w:hAnsi="黑体"/>
          <w:bCs/>
          <w:szCs w:val="32"/>
        </w:rPr>
      </w:pPr>
      <w:r>
        <w:rPr>
          <w:rFonts w:hint="eastAsia" w:ascii="仿宋_GB2312" w:hAnsi="黑体"/>
          <w:b/>
          <w:bCs/>
          <w:szCs w:val="32"/>
        </w:rPr>
        <w:t xml:space="preserve">    七</w:t>
      </w:r>
      <w:r>
        <w:rPr>
          <w:rFonts w:hint="eastAsia" w:ascii="仿宋_GB2312" w:hAnsi="仿宋"/>
          <w:szCs w:val="32"/>
        </w:rPr>
        <w:t>、</w:t>
      </w:r>
      <w:r>
        <w:rPr>
          <w:rFonts w:hint="eastAsia" w:ascii="仿宋_GB2312" w:hAnsi="黑体"/>
          <w:b/>
          <w:bCs/>
          <w:szCs w:val="32"/>
        </w:rPr>
        <w:t>使用非财政拨款结余：</w:t>
      </w:r>
      <w:r>
        <w:rPr>
          <w:rFonts w:hint="eastAsia" w:ascii="仿宋_GB2312" w:hAnsi="黑体"/>
          <w:bCs/>
          <w:szCs w:val="32"/>
        </w:rPr>
        <w:t>指事业单位使用以前年度积累的非财政拨款结余弥补当年收支差额的金额。</w:t>
      </w:r>
    </w:p>
    <w:p>
      <w:pPr>
        <w:pStyle w:val="5"/>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八、年初结转和结余：</w:t>
      </w:r>
      <w:r>
        <w:rPr>
          <w:rFonts w:hint="eastAsia" w:ascii="仿宋_GB2312" w:hAnsi="黑体" w:eastAsia="仿宋_GB2312"/>
          <w:bCs/>
          <w:sz w:val="32"/>
          <w:szCs w:val="32"/>
        </w:rPr>
        <w:t>指以前年度安排、结转到本年仍按原规定用途继续使用的资金。</w:t>
      </w:r>
    </w:p>
    <w:p>
      <w:pPr>
        <w:pStyle w:val="5"/>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九、结余分配：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5"/>
        <w:adjustRightInd w:val="0"/>
        <w:snapToGrid w:val="0"/>
        <w:spacing w:before="0" w:beforeAutospacing="0" w:after="0" w:afterAutospacing="0" w:line="600" w:lineRule="exact"/>
        <w:ind w:firstLine="616" w:firstLineChars="196"/>
        <w:rPr>
          <w:rFonts w:ascii="仿宋_GB2312" w:hAnsi="黑体" w:eastAsia="仿宋_GB2312"/>
          <w:b/>
          <w:sz w:val="32"/>
          <w:szCs w:val="32"/>
        </w:rPr>
      </w:pPr>
      <w:r>
        <w:rPr>
          <w:rFonts w:hint="eastAsia" w:ascii="仿宋_GB2312" w:hAnsi="黑体" w:eastAsia="仿宋_GB2312"/>
          <w:b/>
          <w:bCs/>
          <w:sz w:val="32"/>
          <w:szCs w:val="32"/>
        </w:rPr>
        <w:t>十、年末结转和结余：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5"/>
        <w:adjustRightInd w:val="0"/>
        <w:snapToGrid w:val="0"/>
        <w:spacing w:before="0" w:beforeAutospacing="0" w:after="0" w:afterAutospacing="0" w:line="600" w:lineRule="exact"/>
        <w:ind w:firstLine="616" w:firstLineChars="196"/>
        <w:rPr>
          <w:rFonts w:ascii="仿宋_GB2312" w:hAnsi="黑体" w:eastAsia="仿宋_GB2312"/>
          <w:sz w:val="32"/>
          <w:szCs w:val="32"/>
        </w:rPr>
      </w:pPr>
      <w:r>
        <w:rPr>
          <w:rFonts w:hint="eastAsia" w:ascii="仿宋_GB2312" w:hAnsi="黑体" w:eastAsia="仿宋_GB2312"/>
          <w:b/>
          <w:sz w:val="32"/>
          <w:szCs w:val="32"/>
        </w:rPr>
        <w:t>十一、基本支出：</w:t>
      </w:r>
      <w:r>
        <w:rPr>
          <w:rFonts w:hint="eastAsia" w:ascii="仿宋_GB2312" w:hAnsi="黑体" w:eastAsia="仿宋_GB2312"/>
          <w:sz w:val="32"/>
          <w:szCs w:val="32"/>
        </w:rPr>
        <w:t>指单位为保障其机构正常运转、完成日常工作任务而发生的人员支出和公用支出。</w:t>
      </w:r>
    </w:p>
    <w:p>
      <w:pPr>
        <w:pStyle w:val="5"/>
        <w:spacing w:before="0" w:beforeAutospacing="0" w:after="0" w:afterAutospacing="0" w:line="600" w:lineRule="exact"/>
        <w:ind w:firstLine="616" w:firstLineChars="196"/>
        <w:jc w:val="both"/>
        <w:rPr>
          <w:rFonts w:ascii="仿宋_GB2312" w:hAnsi="黑体" w:eastAsia="仿宋_GB2312"/>
          <w:sz w:val="32"/>
          <w:szCs w:val="32"/>
        </w:rPr>
      </w:pPr>
      <w:r>
        <w:rPr>
          <w:rFonts w:hint="eastAsia" w:ascii="仿宋_GB2312" w:hAnsi="黑体" w:eastAsia="仿宋_GB2312"/>
          <w:b/>
          <w:sz w:val="32"/>
          <w:szCs w:val="32"/>
        </w:rPr>
        <w:t>十二、项目支出：</w:t>
      </w:r>
      <w:r>
        <w:rPr>
          <w:rFonts w:hint="eastAsia" w:ascii="仿宋_GB2312" w:hAnsi="黑体" w:eastAsia="仿宋_GB2312"/>
          <w:sz w:val="32"/>
          <w:szCs w:val="32"/>
        </w:rPr>
        <w:t>指单位为完成特定行政任务和事业发展目标在基本支出之外所发生的支出。</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仿宋_GB2312" w:hAnsi="黑体" w:eastAsia="仿宋_GB2312"/>
          <w:b/>
          <w:sz w:val="32"/>
          <w:szCs w:val="32"/>
        </w:rPr>
        <w:t>十三、经营支出：</w:t>
      </w:r>
      <w:r>
        <w:rPr>
          <w:rFonts w:hint="eastAsia" w:ascii="仿宋_GB2312" w:hAnsi="黑体" w:eastAsia="仿宋_GB2312"/>
          <w:sz w:val="32"/>
          <w:szCs w:val="32"/>
        </w:rPr>
        <w:t>指事业单位在专业业务活动及其辅助活动之外开展非独立核算经营活动发生的支出。</w:t>
      </w:r>
    </w:p>
    <w:p>
      <w:pPr>
        <w:pStyle w:val="5"/>
        <w:spacing w:before="0" w:beforeAutospacing="0" w:after="0" w:afterAutospacing="0" w:line="600" w:lineRule="exact"/>
        <w:ind w:firstLine="616" w:firstLineChars="196"/>
        <w:jc w:val="both"/>
        <w:rPr>
          <w:rFonts w:ascii="仿宋_GB2312" w:hAnsi="黑体" w:eastAsia="仿宋_GB2312"/>
          <w:b/>
          <w:sz w:val="32"/>
          <w:szCs w:val="32"/>
        </w:rPr>
      </w:pPr>
      <w:r>
        <w:rPr>
          <w:rFonts w:hint="eastAsia" w:ascii="仿宋_GB2312" w:hAnsi="黑体" w:eastAsia="仿宋_GB2312"/>
          <w:b/>
          <w:sz w:val="32"/>
          <w:szCs w:val="32"/>
        </w:rPr>
        <w:t>十四、“三公”经费：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5"/>
        <w:spacing w:before="0" w:beforeAutospacing="0" w:after="0" w:afterAutospacing="0" w:line="600" w:lineRule="exact"/>
        <w:ind w:firstLine="616" w:firstLineChars="196"/>
        <w:jc w:val="both"/>
        <w:rPr>
          <w:rFonts w:ascii="仿宋_GB2312" w:hAnsi="黑体" w:eastAsia="仿宋_GB2312"/>
          <w:b/>
          <w:sz w:val="32"/>
          <w:szCs w:val="32"/>
        </w:rPr>
      </w:pPr>
      <w:r>
        <w:rPr>
          <w:rFonts w:hint="eastAsia" w:ascii="仿宋_GB2312" w:hAnsi="黑体" w:eastAsia="仿宋_GB2312"/>
          <w:b/>
          <w:sz w:val="32"/>
          <w:szCs w:val="32"/>
        </w:rPr>
        <w:t>十五、机关运行经费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ind w:left="1667" w:leftChars="250" w:hanging="882" w:hangingChars="249"/>
        <w:jc w:val="center"/>
        <w:rPr>
          <w:rFonts w:ascii="宋体" w:hAnsi="宋体"/>
          <w:b/>
          <w:sz w:val="36"/>
          <w:szCs w:val="36"/>
        </w:rPr>
      </w:pPr>
    </w:p>
    <w:p>
      <w:pPr>
        <w:rPr>
          <w:rFonts w:ascii="宋体" w:hAnsi="宋体"/>
          <w:b/>
          <w:sz w:val="36"/>
          <w:szCs w:val="36"/>
        </w:rPr>
      </w:pPr>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Fonts w:ascii="仿宋_GB2312"/>
        <w:sz w:val="28"/>
      </w:rPr>
    </w:pPr>
    <w:r>
      <w:rPr>
        <w:rStyle w:val="8"/>
        <w:rFonts w:hint="eastAsia" w:ascii="仿宋_GB2312"/>
        <w:sz w:val="28"/>
      </w:rPr>
      <w:t>-</w:t>
    </w:r>
    <w:r>
      <w:rPr>
        <w:rFonts w:hint="eastAsia" w:ascii="仿宋_GB2312"/>
        <w:sz w:val="28"/>
        <w:szCs w:val="28"/>
      </w:rPr>
      <w:fldChar w:fldCharType="begin"/>
    </w:r>
    <w:r>
      <w:rPr>
        <w:rStyle w:val="8"/>
        <w:rFonts w:hint="eastAsia" w:ascii="仿宋_GB2312"/>
        <w:sz w:val="28"/>
        <w:szCs w:val="28"/>
      </w:rPr>
      <w:instrText xml:space="preserve"> PAGE </w:instrText>
    </w:r>
    <w:r>
      <w:rPr>
        <w:rFonts w:hint="eastAsia" w:ascii="仿宋_GB2312"/>
        <w:sz w:val="28"/>
        <w:szCs w:val="28"/>
      </w:rPr>
      <w:fldChar w:fldCharType="separate"/>
    </w:r>
    <w:r>
      <w:rPr>
        <w:rStyle w:val="8"/>
        <w:rFonts w:ascii="仿宋_GB2312"/>
        <w:sz w:val="28"/>
        <w:szCs w:val="28"/>
      </w:rPr>
      <w:t>8</w:t>
    </w:r>
    <w:r>
      <w:rPr>
        <w:rFonts w:hint="eastAsia" w:ascii="仿宋_GB2312"/>
        <w:sz w:val="28"/>
        <w:szCs w:val="28"/>
      </w:rPr>
      <w:fldChar w:fldCharType="end"/>
    </w:r>
    <w:r>
      <w:rPr>
        <w:rStyle w:val="8"/>
        <w:rFonts w:hint="eastAsia" w:ascii="仿宋_GB2312"/>
        <w:sz w:val="28"/>
        <w:szCs w:val="28"/>
      </w:rPr>
      <w:t>-</w:t>
    </w:r>
  </w:p>
  <w:p>
    <w:pPr>
      <w:pStyle w:val="3"/>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4365D"/>
    <w:multiLevelType w:val="multilevel"/>
    <w:tmpl w:val="4AA4365D"/>
    <w:lvl w:ilvl="0" w:tentative="0">
      <w:start w:val="1"/>
      <w:numFmt w:val="japaneseCounting"/>
      <w:lvlText w:val="%1、"/>
      <w:lvlJc w:val="left"/>
      <w:pPr>
        <w:ind w:left="1348" w:hanging="720"/>
      </w:pPr>
      <w:rPr>
        <w:rFonts w:hint="default"/>
      </w:rPr>
    </w:lvl>
    <w:lvl w:ilvl="1" w:tentative="0">
      <w:start w:val="1"/>
      <w:numFmt w:val="lowerLetter"/>
      <w:lvlText w:val="%2)"/>
      <w:lvlJc w:val="left"/>
      <w:pPr>
        <w:ind w:left="1468" w:hanging="420"/>
      </w:pPr>
    </w:lvl>
    <w:lvl w:ilvl="2" w:tentative="0">
      <w:start w:val="1"/>
      <w:numFmt w:val="lowerRoman"/>
      <w:lvlText w:val="%3."/>
      <w:lvlJc w:val="right"/>
      <w:pPr>
        <w:ind w:left="1888" w:hanging="420"/>
      </w:pPr>
    </w:lvl>
    <w:lvl w:ilvl="3" w:tentative="0">
      <w:start w:val="1"/>
      <w:numFmt w:val="decimal"/>
      <w:lvlText w:val="%4."/>
      <w:lvlJc w:val="left"/>
      <w:pPr>
        <w:ind w:left="2308" w:hanging="420"/>
      </w:pPr>
    </w:lvl>
    <w:lvl w:ilvl="4" w:tentative="0">
      <w:start w:val="1"/>
      <w:numFmt w:val="lowerLetter"/>
      <w:lvlText w:val="%5)"/>
      <w:lvlJc w:val="left"/>
      <w:pPr>
        <w:ind w:left="2728" w:hanging="420"/>
      </w:pPr>
    </w:lvl>
    <w:lvl w:ilvl="5" w:tentative="0">
      <w:start w:val="1"/>
      <w:numFmt w:val="lowerRoman"/>
      <w:lvlText w:val="%6."/>
      <w:lvlJc w:val="right"/>
      <w:pPr>
        <w:ind w:left="3148" w:hanging="420"/>
      </w:pPr>
    </w:lvl>
    <w:lvl w:ilvl="6" w:tentative="0">
      <w:start w:val="1"/>
      <w:numFmt w:val="decimal"/>
      <w:lvlText w:val="%7."/>
      <w:lvlJc w:val="left"/>
      <w:pPr>
        <w:ind w:left="3568" w:hanging="420"/>
      </w:pPr>
    </w:lvl>
    <w:lvl w:ilvl="7" w:tentative="0">
      <w:start w:val="1"/>
      <w:numFmt w:val="lowerLetter"/>
      <w:lvlText w:val="%8)"/>
      <w:lvlJc w:val="left"/>
      <w:pPr>
        <w:ind w:left="3988" w:hanging="420"/>
      </w:pPr>
    </w:lvl>
    <w:lvl w:ilvl="8" w:tentative="0">
      <w:start w:val="1"/>
      <w:numFmt w:val="lowerRoman"/>
      <w:lvlText w:val="%9."/>
      <w:lvlJc w:val="right"/>
      <w:pPr>
        <w:ind w:left="44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NThlNzUxNmM0YTg0MzZlYjY3NWZmMDdlZTA0OTYifQ=="/>
  </w:docVars>
  <w:rsids>
    <w:rsidRoot w:val="27D7010C"/>
    <w:rsid w:val="00056658"/>
    <w:rsid w:val="00061456"/>
    <w:rsid w:val="000B31BC"/>
    <w:rsid w:val="000C4F21"/>
    <w:rsid w:val="000E334F"/>
    <w:rsid w:val="00125C14"/>
    <w:rsid w:val="00141FA3"/>
    <w:rsid w:val="00143B9B"/>
    <w:rsid w:val="001465DE"/>
    <w:rsid w:val="001619E4"/>
    <w:rsid w:val="00186DA8"/>
    <w:rsid w:val="001876EA"/>
    <w:rsid w:val="001C2870"/>
    <w:rsid w:val="001C7EAB"/>
    <w:rsid w:val="00210B45"/>
    <w:rsid w:val="002218ED"/>
    <w:rsid w:val="00251927"/>
    <w:rsid w:val="002762A5"/>
    <w:rsid w:val="002D7A3C"/>
    <w:rsid w:val="00347E97"/>
    <w:rsid w:val="003543E8"/>
    <w:rsid w:val="00356E45"/>
    <w:rsid w:val="003970CF"/>
    <w:rsid w:val="003D7E9A"/>
    <w:rsid w:val="003F1BC8"/>
    <w:rsid w:val="003F4181"/>
    <w:rsid w:val="00440D42"/>
    <w:rsid w:val="00445AAE"/>
    <w:rsid w:val="0046003E"/>
    <w:rsid w:val="004930FC"/>
    <w:rsid w:val="005032FF"/>
    <w:rsid w:val="005104C9"/>
    <w:rsid w:val="0051654F"/>
    <w:rsid w:val="005171B5"/>
    <w:rsid w:val="0054548B"/>
    <w:rsid w:val="0057341D"/>
    <w:rsid w:val="005C1B95"/>
    <w:rsid w:val="005C3D93"/>
    <w:rsid w:val="005F2C1A"/>
    <w:rsid w:val="005F3C47"/>
    <w:rsid w:val="005F6A82"/>
    <w:rsid w:val="0063729E"/>
    <w:rsid w:val="00650EB6"/>
    <w:rsid w:val="00686AD6"/>
    <w:rsid w:val="0068711B"/>
    <w:rsid w:val="006B7214"/>
    <w:rsid w:val="006D7DE6"/>
    <w:rsid w:val="006E2AB3"/>
    <w:rsid w:val="00733EF1"/>
    <w:rsid w:val="00800B73"/>
    <w:rsid w:val="00817696"/>
    <w:rsid w:val="008367F4"/>
    <w:rsid w:val="00882FED"/>
    <w:rsid w:val="008A0477"/>
    <w:rsid w:val="008C37EC"/>
    <w:rsid w:val="008E367D"/>
    <w:rsid w:val="00904C66"/>
    <w:rsid w:val="00907939"/>
    <w:rsid w:val="009256AD"/>
    <w:rsid w:val="00952B1B"/>
    <w:rsid w:val="00957F30"/>
    <w:rsid w:val="009E3058"/>
    <w:rsid w:val="00A1531C"/>
    <w:rsid w:val="00A2029D"/>
    <w:rsid w:val="00A35609"/>
    <w:rsid w:val="00A376FF"/>
    <w:rsid w:val="00A45DFF"/>
    <w:rsid w:val="00A80F14"/>
    <w:rsid w:val="00A83E9F"/>
    <w:rsid w:val="00AA3C9E"/>
    <w:rsid w:val="00AA7683"/>
    <w:rsid w:val="00AB00C0"/>
    <w:rsid w:val="00AC4CFE"/>
    <w:rsid w:val="00AD1D15"/>
    <w:rsid w:val="00AD77D3"/>
    <w:rsid w:val="00AF61FF"/>
    <w:rsid w:val="00B243DE"/>
    <w:rsid w:val="00B62128"/>
    <w:rsid w:val="00B64E4D"/>
    <w:rsid w:val="00B676A4"/>
    <w:rsid w:val="00B94EBB"/>
    <w:rsid w:val="00BC68E3"/>
    <w:rsid w:val="00BD1DEA"/>
    <w:rsid w:val="00BF2610"/>
    <w:rsid w:val="00C3606C"/>
    <w:rsid w:val="00C53039"/>
    <w:rsid w:val="00C64DF1"/>
    <w:rsid w:val="00CB3519"/>
    <w:rsid w:val="00CF3EB3"/>
    <w:rsid w:val="00CF7D12"/>
    <w:rsid w:val="00D12FC0"/>
    <w:rsid w:val="00D17E71"/>
    <w:rsid w:val="00D30791"/>
    <w:rsid w:val="00D564E0"/>
    <w:rsid w:val="00D973D5"/>
    <w:rsid w:val="00DF2681"/>
    <w:rsid w:val="00E06049"/>
    <w:rsid w:val="00E162B9"/>
    <w:rsid w:val="00E31E3E"/>
    <w:rsid w:val="00E36141"/>
    <w:rsid w:val="00E56446"/>
    <w:rsid w:val="00E65F9A"/>
    <w:rsid w:val="00EE598A"/>
    <w:rsid w:val="00F05FF8"/>
    <w:rsid w:val="00F1451A"/>
    <w:rsid w:val="00F4582B"/>
    <w:rsid w:val="00F6061D"/>
    <w:rsid w:val="00F657D0"/>
    <w:rsid w:val="00FD4B18"/>
    <w:rsid w:val="00FD66AF"/>
    <w:rsid w:val="00FF0C23"/>
    <w:rsid w:val="0E911CE0"/>
    <w:rsid w:val="1181165E"/>
    <w:rsid w:val="1C4B5453"/>
    <w:rsid w:val="27D7010C"/>
    <w:rsid w:val="2BA020D2"/>
    <w:rsid w:val="3DAD02FF"/>
    <w:rsid w:val="3E0D2135"/>
    <w:rsid w:val="75E61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styleId="9">
    <w:name w:val="List Paragraph"/>
    <w:basedOn w:val="1"/>
    <w:unhideWhenUsed/>
    <w:qFormat/>
    <w:uiPriority w:val="99"/>
    <w:pPr>
      <w:ind w:firstLine="420" w:firstLineChars="200"/>
    </w:pPr>
  </w:style>
  <w:style w:type="character" w:customStyle="1" w:styleId="10">
    <w:name w:val="页眉 Char"/>
    <w:basedOn w:val="7"/>
    <w:link w:val="4"/>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2712</Words>
  <Characters>15463</Characters>
  <Lines>128</Lines>
  <Paragraphs>36</Paragraphs>
  <TotalTime>42</TotalTime>
  <ScaleCrop>false</ScaleCrop>
  <LinksUpToDate>false</LinksUpToDate>
  <CharactersWithSpaces>18139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2022-09-08T03:43:00Z</dcterms:created>
  <dc:creator>爱逗黎vera</dc:creator>
  <cp:lastModifiedBy>Administrator</cp:lastModifiedBy>
  <dcterms:modified xsi:type="dcterms:W3CDTF">2023-09-15T09:12:27Z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4C8F68DF68374498AD5493088C0F0CA2</vt:lpwstr>
  </property>
</Properties>
</file>